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A57B9" w14:textId="3D44E453"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FC771F" w:rsidRPr="00FC771F">
        <w:t>1700763</w:t>
      </w:r>
    </w:p>
    <w:p w14:paraId="7424194A"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27EB17DB" w14:textId="77777777" w:rsidR="00E90E49" w:rsidRPr="00CE0424" w:rsidRDefault="00E90E49" w:rsidP="00357380">
      <w:pPr>
        <w:pStyle w:val="3GPPHeader"/>
      </w:pPr>
    </w:p>
    <w:p w14:paraId="00FEFCA9" w14:textId="77777777" w:rsidR="00E90E49" w:rsidRPr="00327997" w:rsidRDefault="003D3C45" w:rsidP="00327997">
      <w:pPr>
        <w:pStyle w:val="3GPPHeader"/>
      </w:pPr>
      <w:r w:rsidRPr="00327997">
        <w:t>Source:</w:t>
      </w:r>
      <w:r w:rsidR="00E90E49" w:rsidRPr="00327997">
        <w:tab/>
      </w:r>
      <w:r w:rsidR="00F64C2B" w:rsidRPr="00327997">
        <w:t>Ericsson</w:t>
      </w:r>
    </w:p>
    <w:p w14:paraId="512F998A" w14:textId="77777777" w:rsidR="00E90E49" w:rsidRPr="00327997" w:rsidRDefault="003D3C45" w:rsidP="00327997">
      <w:pPr>
        <w:pStyle w:val="3GPPHeader"/>
      </w:pPr>
      <w:r w:rsidRPr="00327997">
        <w:t>Title:</w:t>
      </w:r>
      <w:r w:rsidR="00E90E49" w:rsidRPr="00327997">
        <w:tab/>
      </w:r>
      <w:r w:rsidR="00E6058C">
        <w:t xml:space="preserve">DL </w:t>
      </w:r>
      <w:r w:rsidR="00EC7BCD">
        <w:t>Beam management o</w:t>
      </w:r>
      <w:r w:rsidR="00C54895">
        <w:t>verview</w:t>
      </w:r>
    </w:p>
    <w:p w14:paraId="2A221B2D" w14:textId="77777777" w:rsidR="00952A24" w:rsidRPr="00327997" w:rsidRDefault="00952A24" w:rsidP="00327997">
      <w:pPr>
        <w:pStyle w:val="3GPPHeader"/>
      </w:pPr>
      <w:r w:rsidRPr="00327997">
        <w:t>Agenda Item:</w:t>
      </w:r>
      <w:r w:rsidRPr="00327997">
        <w:tab/>
      </w:r>
      <w:r w:rsidR="00C54895" w:rsidRPr="00FC771F">
        <w:t>5.1.2.2</w:t>
      </w:r>
      <w:bookmarkStart w:id="0" w:name="_GoBack"/>
      <w:bookmarkEnd w:id="0"/>
    </w:p>
    <w:p w14:paraId="79795CB2"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FE60037" w14:textId="77777777" w:rsidR="00E90E49" w:rsidRPr="00CE0424" w:rsidRDefault="007F75D5" w:rsidP="00CE0424">
      <w:pPr>
        <w:pStyle w:val="Heading1"/>
      </w:pPr>
      <w:r>
        <w:t>Introduction</w:t>
      </w:r>
    </w:p>
    <w:p w14:paraId="75A31904" w14:textId="77777777" w:rsidR="00BF7642" w:rsidRPr="00E9149C" w:rsidRDefault="00A85C6C" w:rsidP="00BF7642">
      <w:pPr>
        <w:pStyle w:val="BodyText"/>
      </w:pPr>
      <w:r>
        <w:t>In RAN1#87</w:t>
      </w:r>
      <w:r w:rsidR="00BF7642">
        <w:t>, the following agreement</w:t>
      </w:r>
      <w:r w:rsidR="00FB08E2">
        <w:t xml:space="preserve">s </w:t>
      </w:r>
      <w:r w:rsidR="002D4C38">
        <w:t>were made in the area of beam management</w:t>
      </w:r>
      <w:r w:rsidR="00BF7642">
        <w:t>:</w:t>
      </w:r>
    </w:p>
    <w:p w14:paraId="0D03A2E5" w14:textId="77777777" w:rsidR="00BF7642" w:rsidRDefault="00BF7642" w:rsidP="00BF7642">
      <w:pPr>
        <w:pStyle w:val="BodyText"/>
      </w:pPr>
      <w:r>
        <w:rPr>
          <w:noProof/>
          <w:lang w:val="en-US" w:eastAsia="en-US"/>
        </w:rPr>
        <mc:AlternateContent>
          <mc:Choice Requires="wps">
            <w:drawing>
              <wp:inline distT="0" distB="0" distL="0" distR="0" wp14:anchorId="735735CB" wp14:editId="73B7B483">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08D30C" w14:textId="77777777" w:rsidR="001745E6" w:rsidRPr="006354E1" w:rsidRDefault="001745E6" w:rsidP="00EF6CBC">
                            <w:pPr>
                              <w:spacing w:after="0"/>
                              <w:rPr>
                                <w:rFonts w:eastAsia="MS Mincho"/>
                                <w:iCs/>
                                <w:lang w:eastAsia="ja-JP"/>
                              </w:rPr>
                            </w:pPr>
                            <w:r w:rsidRPr="00F972ED">
                              <w:rPr>
                                <w:rFonts w:eastAsia="MS Mincho"/>
                                <w:b/>
                                <w:iCs/>
                                <w:highlight w:val="green"/>
                                <w:u w:val="single"/>
                                <w:lang w:eastAsia="ja-JP"/>
                              </w:rPr>
                              <w:t>Agreements</w:t>
                            </w:r>
                            <w:r w:rsidRPr="006354E1">
                              <w:rPr>
                                <w:rFonts w:eastAsia="MS Mincho"/>
                                <w:iCs/>
                                <w:lang w:eastAsia="ja-JP"/>
                              </w:rPr>
                              <w:t>:</w:t>
                            </w:r>
                          </w:p>
                          <w:p w14:paraId="0C954BC7" w14:textId="77777777" w:rsidR="001745E6" w:rsidRPr="006354E1" w:rsidRDefault="001745E6" w:rsidP="00EF6CBC">
                            <w:pPr>
                              <w:numPr>
                                <w:ilvl w:val="0"/>
                                <w:numId w:val="17"/>
                              </w:numPr>
                              <w:spacing w:after="0"/>
                              <w:rPr>
                                <w:rFonts w:eastAsia="MS Mincho"/>
                                <w:bCs/>
                                <w:iCs/>
                                <w:lang w:val="en-US" w:eastAsia="ja-JP"/>
                              </w:rPr>
                            </w:pPr>
                            <w:r w:rsidRPr="006354E1">
                              <w:rPr>
                                <w:rFonts w:eastAsia="MS Mincho"/>
                                <w:bCs/>
                                <w:iCs/>
                                <w:lang w:val="en-US" w:eastAsia="ja-JP"/>
                              </w:rPr>
                              <w:t>NR supports with and without a downlink indication to derive QCL assumption for assisting UE-side beamforming for downlink control channel reception</w:t>
                            </w:r>
                          </w:p>
                          <w:p w14:paraId="5688D1A8" w14:textId="77777777" w:rsidR="001745E6" w:rsidRPr="006354E1" w:rsidRDefault="001745E6" w:rsidP="00EF6CBC">
                            <w:pPr>
                              <w:numPr>
                                <w:ilvl w:val="1"/>
                                <w:numId w:val="17"/>
                              </w:numPr>
                              <w:spacing w:after="0"/>
                              <w:rPr>
                                <w:rFonts w:eastAsia="MS Mincho"/>
                                <w:bCs/>
                                <w:iCs/>
                                <w:lang w:val="en-US" w:eastAsia="ja-JP"/>
                              </w:rPr>
                            </w:pPr>
                            <w:r w:rsidRPr="006354E1">
                              <w:rPr>
                                <w:rFonts w:eastAsia="MS Mincho"/>
                                <w:bCs/>
                                <w:iCs/>
                                <w:lang w:val="en-US" w:eastAsia="ja-JP"/>
                              </w:rPr>
                              <w:t>FFS: details</w:t>
                            </w:r>
                          </w:p>
                          <w:p w14:paraId="59DFF4FE" w14:textId="77777777" w:rsidR="001745E6" w:rsidRPr="006354E1" w:rsidRDefault="001745E6" w:rsidP="00EF6CBC">
                            <w:pPr>
                              <w:numPr>
                                <w:ilvl w:val="2"/>
                                <w:numId w:val="17"/>
                              </w:numPr>
                              <w:spacing w:after="0"/>
                              <w:rPr>
                                <w:rFonts w:eastAsia="MS Mincho"/>
                                <w:bCs/>
                                <w:iCs/>
                                <w:lang w:val="en-US" w:eastAsia="ja-JP"/>
                              </w:rPr>
                            </w:pPr>
                            <w:r w:rsidRPr="006354E1">
                              <w:rPr>
                                <w:rFonts w:eastAsia="MS Mincho"/>
                                <w:bCs/>
                                <w:iCs/>
                                <w:lang w:val="en-US" w:eastAsia="ja-JP"/>
                              </w:rPr>
                              <w:t>E.g., QCL assumption details</w:t>
                            </w:r>
                          </w:p>
                          <w:p w14:paraId="7FC6A1BD" w14:textId="77777777" w:rsidR="001745E6" w:rsidRPr="006354E1" w:rsidRDefault="001745E6" w:rsidP="00EF6CBC">
                            <w:pPr>
                              <w:numPr>
                                <w:ilvl w:val="2"/>
                                <w:numId w:val="17"/>
                              </w:numPr>
                              <w:spacing w:after="0"/>
                              <w:rPr>
                                <w:rFonts w:eastAsia="MS Mincho"/>
                                <w:bCs/>
                                <w:iCs/>
                                <w:lang w:val="en-US" w:eastAsia="ja-JP"/>
                              </w:rPr>
                            </w:pPr>
                            <w:r w:rsidRPr="006354E1">
                              <w:rPr>
                                <w:rFonts w:eastAsia="MS Mincho"/>
                                <w:bCs/>
                                <w:iCs/>
                                <w:lang w:val="en-US" w:eastAsia="ja-JP"/>
                              </w:rPr>
                              <w:t>E.g., indication signaling (e.g. DCI, MAC CE, RRC, etc.)</w:t>
                            </w:r>
                          </w:p>
                          <w:p w14:paraId="0237DE54" w14:textId="77777777" w:rsidR="001745E6" w:rsidRPr="00EF6CBC" w:rsidRDefault="001745E6" w:rsidP="00EF6CBC">
                            <w:pPr>
                              <w:numPr>
                                <w:ilvl w:val="2"/>
                                <w:numId w:val="17"/>
                              </w:numPr>
                              <w:spacing w:after="0"/>
                              <w:rPr>
                                <w:rFonts w:eastAsia="MS Mincho"/>
                                <w:bCs/>
                                <w:iCs/>
                                <w:lang w:val="en-US" w:eastAsia="ja-JP"/>
                              </w:rPr>
                            </w:pPr>
                            <w:r w:rsidRPr="006354E1">
                              <w:rPr>
                                <w:rFonts w:eastAsia="MS Mincho"/>
                                <w:bCs/>
                                <w:iCs/>
                                <w:lang w:val="en-US" w:eastAsia="ja-JP"/>
                              </w:rPr>
                              <w:t>E.g., beam-related indication for DL control and data channels</w:t>
                            </w:r>
                          </w:p>
                          <w:p w14:paraId="3458EA00" w14:textId="77777777" w:rsidR="001745E6" w:rsidRPr="00D53EDA" w:rsidRDefault="001745E6" w:rsidP="00EF6CBC">
                            <w:pPr>
                              <w:spacing w:after="0"/>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5215BF4B" w14:textId="77777777" w:rsidR="001745E6" w:rsidRPr="005669E5" w:rsidRDefault="001745E6" w:rsidP="00EF6CBC">
                            <w:pPr>
                              <w:numPr>
                                <w:ilvl w:val="0"/>
                                <w:numId w:val="16"/>
                              </w:numPr>
                              <w:spacing w:after="0"/>
                              <w:rPr>
                                <w:rFonts w:eastAsia="MS Mincho"/>
                                <w:iCs/>
                                <w:lang w:val="en-US" w:eastAsia="ja-JP"/>
                              </w:rPr>
                            </w:pPr>
                            <w:r w:rsidRPr="005669E5">
                              <w:rPr>
                                <w:rFonts w:eastAsia="MS Mincho"/>
                                <w:iCs/>
                                <w:lang w:val="en-US" w:eastAsia="ja-JP"/>
                              </w:rPr>
                              <w:t>NR to provide robustness against beam pair link blocking</w:t>
                            </w:r>
                          </w:p>
                          <w:p w14:paraId="2758810E" w14:textId="77777777" w:rsidR="001745E6" w:rsidRPr="005669E5" w:rsidRDefault="001745E6" w:rsidP="00EF6CBC">
                            <w:pPr>
                              <w:numPr>
                                <w:ilvl w:val="1"/>
                                <w:numId w:val="16"/>
                              </w:numPr>
                              <w:spacing w:after="0"/>
                              <w:rPr>
                                <w:rFonts w:eastAsia="MS Mincho"/>
                                <w:iCs/>
                                <w:lang w:val="en-US" w:eastAsia="ja-JP"/>
                              </w:rPr>
                            </w:pPr>
                            <w:r w:rsidRPr="005669E5">
                              <w:rPr>
                                <w:rFonts w:eastAsia="MS Mincho"/>
                                <w:iCs/>
                                <w:lang w:val="en-US" w:eastAsia="ja-JP"/>
                              </w:rPr>
                              <w:t>Study mechanisms to achieve the above purpose</w:t>
                            </w:r>
                          </w:p>
                          <w:p w14:paraId="095BC3A4" w14:textId="77777777" w:rsidR="001745E6" w:rsidRPr="005669E5" w:rsidRDefault="001745E6" w:rsidP="00EF6CBC">
                            <w:pPr>
                              <w:numPr>
                                <w:ilvl w:val="2"/>
                                <w:numId w:val="16"/>
                              </w:numPr>
                              <w:spacing w:after="0"/>
                              <w:rPr>
                                <w:rFonts w:eastAsia="MS Mincho"/>
                                <w:iCs/>
                                <w:lang w:val="en-US" w:eastAsia="ja-JP"/>
                              </w:rPr>
                            </w:pPr>
                            <w:r w:rsidRPr="005669E5">
                              <w:rPr>
                                <w:rFonts w:eastAsia="MS Mincho"/>
                                <w:iCs/>
                                <w:lang w:val="en-US" w:eastAsia="ja-JP"/>
                              </w:rPr>
                              <w:t>E.g., by enabling PDCCH/PDSCH monitoring with N beams</w:t>
                            </w:r>
                          </w:p>
                          <w:p w14:paraId="206D1DFB" w14:textId="77777777" w:rsidR="001745E6" w:rsidRPr="005669E5" w:rsidRDefault="001745E6" w:rsidP="00EF6CBC">
                            <w:pPr>
                              <w:numPr>
                                <w:ilvl w:val="3"/>
                                <w:numId w:val="16"/>
                              </w:numPr>
                              <w:spacing w:after="0"/>
                              <w:rPr>
                                <w:rFonts w:eastAsia="MS Mincho"/>
                                <w:iCs/>
                                <w:lang w:val="en-US" w:eastAsia="ja-JP"/>
                              </w:rPr>
                            </w:pPr>
                            <w:r w:rsidRPr="005669E5">
                              <w:rPr>
                                <w:rFonts w:eastAsia="MS Mincho"/>
                                <w:iCs/>
                                <w:lang w:val="en-US" w:eastAsia="ja-JP"/>
                              </w:rPr>
                              <w:t>E.g., N=1, 2, …</w:t>
                            </w:r>
                          </w:p>
                          <w:p w14:paraId="1523F0E4" w14:textId="77777777" w:rsidR="001745E6" w:rsidRPr="005669E5" w:rsidRDefault="001745E6" w:rsidP="00EF6CBC">
                            <w:pPr>
                              <w:numPr>
                                <w:ilvl w:val="3"/>
                                <w:numId w:val="16"/>
                              </w:numPr>
                              <w:spacing w:after="0"/>
                              <w:rPr>
                                <w:rFonts w:eastAsia="MS Mincho"/>
                                <w:iCs/>
                                <w:lang w:val="en-US" w:eastAsia="ja-JP"/>
                              </w:rPr>
                            </w:pPr>
                            <w:r w:rsidRPr="005669E5">
                              <w:rPr>
                                <w:rFonts w:eastAsia="MS Mincho"/>
                                <w:iCs/>
                                <w:lang w:val="en-US" w:eastAsia="ja-JP"/>
                              </w:rPr>
                              <w:t>E.g., TDM monitoring, simultaneous monitoring, etc.</w:t>
                            </w:r>
                          </w:p>
                          <w:p w14:paraId="1EDD11FA" w14:textId="77777777" w:rsidR="001745E6" w:rsidRPr="005669E5" w:rsidRDefault="001745E6" w:rsidP="00EF6CBC">
                            <w:pPr>
                              <w:numPr>
                                <w:ilvl w:val="2"/>
                                <w:numId w:val="16"/>
                              </w:numPr>
                              <w:spacing w:after="0"/>
                              <w:rPr>
                                <w:rFonts w:eastAsia="MS Mincho"/>
                                <w:iCs/>
                                <w:lang w:val="en-US" w:eastAsia="ja-JP"/>
                              </w:rPr>
                            </w:pPr>
                            <w:r w:rsidRPr="005669E5">
                              <w:rPr>
                                <w:rFonts w:eastAsia="MS Mincho"/>
                                <w:iCs/>
                                <w:lang w:val="en-US" w:eastAsia="ja-JP"/>
                              </w:rPr>
                              <w:t>E.g., by enabling composite beams via e.g., SFBC and/or multi-stage control channel</w:t>
                            </w:r>
                          </w:p>
                          <w:p w14:paraId="220771AC" w14:textId="77777777" w:rsidR="001745E6" w:rsidRPr="00FB08E2" w:rsidRDefault="001745E6" w:rsidP="00EF6CBC">
                            <w:pPr>
                              <w:pStyle w:val="ListParagraph"/>
                              <w:numPr>
                                <w:ilvl w:val="2"/>
                                <w:numId w:val="16"/>
                              </w:numPr>
                              <w:spacing w:after="0"/>
                              <w:rPr>
                                <w:rFonts w:eastAsia="MS Mincho"/>
                                <w:lang w:val="en-US"/>
                              </w:rPr>
                            </w:pPr>
                            <w:r w:rsidRPr="00FB08E2">
                              <w:rPr>
                                <w:rFonts w:eastAsia="MS Mincho"/>
                                <w:iCs/>
                                <w:lang w:val="en-US"/>
                              </w:rPr>
                              <w:t>The examples are not intended to be exhaustive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35735CB"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B08D30C" w14:textId="77777777" w:rsidR="001745E6" w:rsidRPr="006354E1" w:rsidRDefault="001745E6" w:rsidP="00EF6CBC">
                      <w:pPr>
                        <w:spacing w:after="0"/>
                        <w:rPr>
                          <w:rFonts w:eastAsia="MS Mincho"/>
                          <w:iCs/>
                          <w:lang w:eastAsia="ja-JP"/>
                        </w:rPr>
                      </w:pPr>
                      <w:r w:rsidRPr="00F972ED">
                        <w:rPr>
                          <w:rFonts w:eastAsia="MS Mincho"/>
                          <w:b/>
                          <w:iCs/>
                          <w:highlight w:val="green"/>
                          <w:u w:val="single"/>
                          <w:lang w:eastAsia="ja-JP"/>
                        </w:rPr>
                        <w:t>Agreements</w:t>
                      </w:r>
                      <w:r w:rsidRPr="006354E1">
                        <w:rPr>
                          <w:rFonts w:eastAsia="MS Mincho"/>
                          <w:iCs/>
                          <w:lang w:eastAsia="ja-JP"/>
                        </w:rPr>
                        <w:t>:</w:t>
                      </w:r>
                    </w:p>
                    <w:p w14:paraId="0C954BC7" w14:textId="77777777" w:rsidR="001745E6" w:rsidRPr="006354E1" w:rsidRDefault="001745E6" w:rsidP="00EF6CBC">
                      <w:pPr>
                        <w:numPr>
                          <w:ilvl w:val="0"/>
                          <w:numId w:val="17"/>
                        </w:numPr>
                        <w:spacing w:after="0"/>
                        <w:rPr>
                          <w:rFonts w:eastAsia="MS Mincho"/>
                          <w:bCs/>
                          <w:iCs/>
                          <w:lang w:val="en-US" w:eastAsia="ja-JP"/>
                        </w:rPr>
                      </w:pPr>
                      <w:r w:rsidRPr="006354E1">
                        <w:rPr>
                          <w:rFonts w:eastAsia="MS Mincho"/>
                          <w:bCs/>
                          <w:iCs/>
                          <w:lang w:val="en-US" w:eastAsia="ja-JP"/>
                        </w:rPr>
                        <w:t>NR supports with and without a downlink indication to derive QCL assumption for assisting UE-side beamforming for downlink control channel reception</w:t>
                      </w:r>
                    </w:p>
                    <w:p w14:paraId="5688D1A8" w14:textId="77777777" w:rsidR="001745E6" w:rsidRPr="006354E1" w:rsidRDefault="001745E6" w:rsidP="00EF6CBC">
                      <w:pPr>
                        <w:numPr>
                          <w:ilvl w:val="1"/>
                          <w:numId w:val="17"/>
                        </w:numPr>
                        <w:spacing w:after="0"/>
                        <w:rPr>
                          <w:rFonts w:eastAsia="MS Mincho"/>
                          <w:bCs/>
                          <w:iCs/>
                          <w:lang w:val="en-US" w:eastAsia="ja-JP"/>
                        </w:rPr>
                      </w:pPr>
                      <w:r w:rsidRPr="006354E1">
                        <w:rPr>
                          <w:rFonts w:eastAsia="MS Mincho"/>
                          <w:bCs/>
                          <w:iCs/>
                          <w:lang w:val="en-US" w:eastAsia="ja-JP"/>
                        </w:rPr>
                        <w:t>FFS: details</w:t>
                      </w:r>
                    </w:p>
                    <w:p w14:paraId="59DFF4FE" w14:textId="77777777" w:rsidR="001745E6" w:rsidRPr="006354E1" w:rsidRDefault="001745E6" w:rsidP="00EF6CBC">
                      <w:pPr>
                        <w:numPr>
                          <w:ilvl w:val="2"/>
                          <w:numId w:val="17"/>
                        </w:numPr>
                        <w:spacing w:after="0"/>
                        <w:rPr>
                          <w:rFonts w:eastAsia="MS Mincho"/>
                          <w:bCs/>
                          <w:iCs/>
                          <w:lang w:val="en-US" w:eastAsia="ja-JP"/>
                        </w:rPr>
                      </w:pPr>
                      <w:r w:rsidRPr="006354E1">
                        <w:rPr>
                          <w:rFonts w:eastAsia="MS Mincho"/>
                          <w:bCs/>
                          <w:iCs/>
                          <w:lang w:val="en-US" w:eastAsia="ja-JP"/>
                        </w:rPr>
                        <w:t>E.g., QCL assumption details</w:t>
                      </w:r>
                    </w:p>
                    <w:p w14:paraId="7FC6A1BD" w14:textId="77777777" w:rsidR="001745E6" w:rsidRPr="006354E1" w:rsidRDefault="001745E6" w:rsidP="00EF6CBC">
                      <w:pPr>
                        <w:numPr>
                          <w:ilvl w:val="2"/>
                          <w:numId w:val="17"/>
                        </w:numPr>
                        <w:spacing w:after="0"/>
                        <w:rPr>
                          <w:rFonts w:eastAsia="MS Mincho"/>
                          <w:bCs/>
                          <w:iCs/>
                          <w:lang w:val="en-US" w:eastAsia="ja-JP"/>
                        </w:rPr>
                      </w:pPr>
                      <w:r w:rsidRPr="006354E1">
                        <w:rPr>
                          <w:rFonts w:eastAsia="MS Mincho"/>
                          <w:bCs/>
                          <w:iCs/>
                          <w:lang w:val="en-US" w:eastAsia="ja-JP"/>
                        </w:rPr>
                        <w:t>E.g., indication signaling (e.g. DCI, MAC CE, RRC, etc.)</w:t>
                      </w:r>
                    </w:p>
                    <w:p w14:paraId="0237DE54" w14:textId="77777777" w:rsidR="001745E6" w:rsidRPr="00EF6CBC" w:rsidRDefault="001745E6" w:rsidP="00EF6CBC">
                      <w:pPr>
                        <w:numPr>
                          <w:ilvl w:val="2"/>
                          <w:numId w:val="17"/>
                        </w:numPr>
                        <w:spacing w:after="0"/>
                        <w:rPr>
                          <w:rFonts w:eastAsia="MS Mincho"/>
                          <w:bCs/>
                          <w:iCs/>
                          <w:lang w:val="en-US" w:eastAsia="ja-JP"/>
                        </w:rPr>
                      </w:pPr>
                      <w:r w:rsidRPr="006354E1">
                        <w:rPr>
                          <w:rFonts w:eastAsia="MS Mincho"/>
                          <w:bCs/>
                          <w:iCs/>
                          <w:lang w:val="en-US" w:eastAsia="ja-JP"/>
                        </w:rPr>
                        <w:t>E.g., beam-related indication for DL control and data channels</w:t>
                      </w:r>
                    </w:p>
                    <w:p w14:paraId="3458EA00" w14:textId="77777777" w:rsidR="001745E6" w:rsidRPr="00D53EDA" w:rsidRDefault="001745E6" w:rsidP="00EF6CBC">
                      <w:pPr>
                        <w:spacing w:after="0"/>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5215BF4B" w14:textId="77777777" w:rsidR="001745E6" w:rsidRPr="005669E5" w:rsidRDefault="001745E6" w:rsidP="00EF6CBC">
                      <w:pPr>
                        <w:numPr>
                          <w:ilvl w:val="0"/>
                          <w:numId w:val="16"/>
                        </w:numPr>
                        <w:spacing w:after="0"/>
                        <w:rPr>
                          <w:rFonts w:eastAsia="MS Mincho"/>
                          <w:iCs/>
                          <w:lang w:val="en-US" w:eastAsia="ja-JP"/>
                        </w:rPr>
                      </w:pPr>
                      <w:r w:rsidRPr="005669E5">
                        <w:rPr>
                          <w:rFonts w:eastAsia="MS Mincho"/>
                          <w:iCs/>
                          <w:lang w:val="en-US" w:eastAsia="ja-JP"/>
                        </w:rPr>
                        <w:t>NR to provide robustness against beam pair link blocking</w:t>
                      </w:r>
                    </w:p>
                    <w:p w14:paraId="2758810E" w14:textId="77777777" w:rsidR="001745E6" w:rsidRPr="005669E5" w:rsidRDefault="001745E6" w:rsidP="00EF6CBC">
                      <w:pPr>
                        <w:numPr>
                          <w:ilvl w:val="1"/>
                          <w:numId w:val="16"/>
                        </w:numPr>
                        <w:spacing w:after="0"/>
                        <w:rPr>
                          <w:rFonts w:eastAsia="MS Mincho"/>
                          <w:iCs/>
                          <w:lang w:val="en-US" w:eastAsia="ja-JP"/>
                        </w:rPr>
                      </w:pPr>
                      <w:r w:rsidRPr="005669E5">
                        <w:rPr>
                          <w:rFonts w:eastAsia="MS Mincho"/>
                          <w:iCs/>
                          <w:lang w:val="en-US" w:eastAsia="ja-JP"/>
                        </w:rPr>
                        <w:t>Study mechanisms to achieve the above purpose</w:t>
                      </w:r>
                    </w:p>
                    <w:p w14:paraId="095BC3A4" w14:textId="77777777" w:rsidR="001745E6" w:rsidRPr="005669E5" w:rsidRDefault="001745E6" w:rsidP="00EF6CBC">
                      <w:pPr>
                        <w:numPr>
                          <w:ilvl w:val="2"/>
                          <w:numId w:val="16"/>
                        </w:numPr>
                        <w:spacing w:after="0"/>
                        <w:rPr>
                          <w:rFonts w:eastAsia="MS Mincho"/>
                          <w:iCs/>
                          <w:lang w:val="en-US" w:eastAsia="ja-JP"/>
                        </w:rPr>
                      </w:pPr>
                      <w:r w:rsidRPr="005669E5">
                        <w:rPr>
                          <w:rFonts w:eastAsia="MS Mincho"/>
                          <w:iCs/>
                          <w:lang w:val="en-US" w:eastAsia="ja-JP"/>
                        </w:rPr>
                        <w:t>E.g., by enabling PDCCH/PDSCH monitoring with N beams</w:t>
                      </w:r>
                    </w:p>
                    <w:p w14:paraId="206D1DFB" w14:textId="77777777" w:rsidR="001745E6" w:rsidRPr="005669E5" w:rsidRDefault="001745E6" w:rsidP="00EF6CBC">
                      <w:pPr>
                        <w:numPr>
                          <w:ilvl w:val="3"/>
                          <w:numId w:val="16"/>
                        </w:numPr>
                        <w:spacing w:after="0"/>
                        <w:rPr>
                          <w:rFonts w:eastAsia="MS Mincho"/>
                          <w:iCs/>
                          <w:lang w:val="en-US" w:eastAsia="ja-JP"/>
                        </w:rPr>
                      </w:pPr>
                      <w:r w:rsidRPr="005669E5">
                        <w:rPr>
                          <w:rFonts w:eastAsia="MS Mincho"/>
                          <w:iCs/>
                          <w:lang w:val="en-US" w:eastAsia="ja-JP"/>
                        </w:rPr>
                        <w:t>E.g., N=1, 2, …</w:t>
                      </w:r>
                    </w:p>
                    <w:p w14:paraId="1523F0E4" w14:textId="77777777" w:rsidR="001745E6" w:rsidRPr="005669E5" w:rsidRDefault="001745E6" w:rsidP="00EF6CBC">
                      <w:pPr>
                        <w:numPr>
                          <w:ilvl w:val="3"/>
                          <w:numId w:val="16"/>
                        </w:numPr>
                        <w:spacing w:after="0"/>
                        <w:rPr>
                          <w:rFonts w:eastAsia="MS Mincho"/>
                          <w:iCs/>
                          <w:lang w:val="en-US" w:eastAsia="ja-JP"/>
                        </w:rPr>
                      </w:pPr>
                      <w:r w:rsidRPr="005669E5">
                        <w:rPr>
                          <w:rFonts w:eastAsia="MS Mincho"/>
                          <w:iCs/>
                          <w:lang w:val="en-US" w:eastAsia="ja-JP"/>
                        </w:rPr>
                        <w:t>E.g., TDM monitoring, simultaneous monitoring, etc.</w:t>
                      </w:r>
                    </w:p>
                    <w:p w14:paraId="1EDD11FA" w14:textId="77777777" w:rsidR="001745E6" w:rsidRPr="005669E5" w:rsidRDefault="001745E6" w:rsidP="00EF6CBC">
                      <w:pPr>
                        <w:numPr>
                          <w:ilvl w:val="2"/>
                          <w:numId w:val="16"/>
                        </w:numPr>
                        <w:spacing w:after="0"/>
                        <w:rPr>
                          <w:rFonts w:eastAsia="MS Mincho"/>
                          <w:iCs/>
                          <w:lang w:val="en-US" w:eastAsia="ja-JP"/>
                        </w:rPr>
                      </w:pPr>
                      <w:r w:rsidRPr="005669E5">
                        <w:rPr>
                          <w:rFonts w:eastAsia="MS Mincho"/>
                          <w:iCs/>
                          <w:lang w:val="en-US" w:eastAsia="ja-JP"/>
                        </w:rPr>
                        <w:t>E.g., by enabling composite beams via e.g., SFBC and/or multi-stage control channel</w:t>
                      </w:r>
                    </w:p>
                    <w:p w14:paraId="220771AC" w14:textId="77777777" w:rsidR="001745E6" w:rsidRPr="00FB08E2" w:rsidRDefault="001745E6" w:rsidP="00EF6CBC">
                      <w:pPr>
                        <w:pStyle w:val="ListParagraph"/>
                        <w:numPr>
                          <w:ilvl w:val="2"/>
                          <w:numId w:val="16"/>
                        </w:numPr>
                        <w:spacing w:after="0"/>
                        <w:rPr>
                          <w:rFonts w:eastAsia="MS Mincho"/>
                          <w:lang w:val="en-US"/>
                        </w:rPr>
                      </w:pPr>
                      <w:r w:rsidRPr="00FB08E2">
                        <w:rPr>
                          <w:rFonts w:eastAsia="MS Mincho"/>
                          <w:iCs/>
                          <w:lang w:val="en-US"/>
                        </w:rPr>
                        <w:t>The examples are not intended to be exhaustive</w:t>
                      </w:r>
                    </w:p>
                  </w:txbxContent>
                </v:textbox>
                <w10:anchorlock/>
              </v:shape>
            </w:pict>
          </mc:Fallback>
        </mc:AlternateContent>
      </w:r>
    </w:p>
    <w:p w14:paraId="5F8CE928" w14:textId="77777777" w:rsidR="00F972ED" w:rsidRPr="00CE0424" w:rsidRDefault="00F972ED" w:rsidP="00F972ED">
      <w:pPr>
        <w:pStyle w:val="BodyText"/>
      </w:pPr>
      <w:r>
        <w:t xml:space="preserve">In this </w:t>
      </w:r>
      <w:r w:rsidR="00465917">
        <w:t xml:space="preserve">contribution, we provide an overview of beam management operation (L1/L2 procedure using CSI-RS) that continues the discussion in </w:t>
      </w:r>
      <w:r w:rsidR="00465917">
        <w:fldChar w:fldCharType="begin"/>
      </w:r>
      <w:r w:rsidR="00465917">
        <w:instrText xml:space="preserve"> REF _Ref470003074 \r \h </w:instrText>
      </w:r>
      <w:r w:rsidR="00465917">
        <w:fldChar w:fldCharType="separate"/>
      </w:r>
      <w:r w:rsidR="00465917">
        <w:t>[1]</w:t>
      </w:r>
      <w:r w:rsidR="00465917">
        <w:fldChar w:fldCharType="end"/>
      </w:r>
      <w:r w:rsidR="00465917">
        <w:t xml:space="preserve"> from the last meeting</w:t>
      </w:r>
      <w:r w:rsidR="00EF6CBC">
        <w:t xml:space="preserve"> and incorporating the above agreements</w:t>
      </w:r>
      <w:r w:rsidR="00465917">
        <w:t>. The intention is to provide context to Ericsson’s proposals in other contributions.</w:t>
      </w:r>
    </w:p>
    <w:p w14:paraId="3BD985B0" w14:textId="77777777" w:rsidR="00141C3D" w:rsidRDefault="004000E8" w:rsidP="00141C3D">
      <w:pPr>
        <w:pStyle w:val="Heading1"/>
      </w:pPr>
      <w:bookmarkStart w:id="1" w:name="_Ref178064866"/>
      <w:r w:rsidRPr="00CE0424">
        <w:t>Discussion</w:t>
      </w:r>
      <w:bookmarkEnd w:id="1"/>
    </w:p>
    <w:p w14:paraId="3651DD94" w14:textId="6BEB3614" w:rsidR="00E77548" w:rsidRDefault="00EF6CBC" w:rsidP="00EF6CBC">
      <w:r>
        <w:t xml:space="preserve">In </w:t>
      </w:r>
      <w:r>
        <w:fldChar w:fldCharType="begin"/>
      </w:r>
      <w:r>
        <w:instrText xml:space="preserve"> REF _Ref470003074 \r \h </w:instrText>
      </w:r>
      <w:r>
        <w:fldChar w:fldCharType="separate"/>
      </w:r>
      <w:r>
        <w:t>[1]</w:t>
      </w:r>
      <w:r>
        <w:fldChar w:fldCharType="end"/>
      </w:r>
      <w:r>
        <w:t>, an overview of beam management was given, and the notion of a “toolbox” of procedures was introduced to cover the wide range of deployme</w:t>
      </w:r>
      <w:r w:rsidR="00005835">
        <w:t xml:space="preserve">nt scenarios envisioned for NR. </w:t>
      </w:r>
      <w:r w:rsidR="002316D5">
        <w:t>The b</w:t>
      </w:r>
      <w:r w:rsidR="00005835">
        <w:t xml:space="preserve">eam management framework was discussed in the context of which procedures </w:t>
      </w:r>
      <w:r w:rsidR="002316D5">
        <w:t xml:space="preserve">from the toolbox </w:t>
      </w:r>
      <w:r w:rsidR="00005835">
        <w:t>could be used to</w:t>
      </w:r>
      <w:r w:rsidR="002316D5">
        <w:t xml:space="preserve"> handle increasing levels of beam management accuracy making use of the P1,P2, and P3 procedures agreed </w:t>
      </w:r>
      <w:r w:rsidR="0081051B">
        <w:t xml:space="preserve">previously </w:t>
      </w:r>
      <w:r w:rsidR="002316D5">
        <w:t>in RAN1.</w:t>
      </w:r>
    </w:p>
    <w:p w14:paraId="3986971A" w14:textId="4711A2CA" w:rsidR="00E77548" w:rsidRDefault="00E77548" w:rsidP="00EF6CBC">
      <w:r>
        <w:t>While this contribution focuses on DL beam management, in a companion contribution</w:t>
      </w:r>
      <w:r w:rsidR="00713515">
        <w:t xml:space="preserve"> </w:t>
      </w:r>
      <w:r w:rsidR="00713515">
        <w:fldChar w:fldCharType="begin"/>
      </w:r>
      <w:r w:rsidR="00713515">
        <w:instrText xml:space="preserve"> REF _Ref471206035 \r \h </w:instrText>
      </w:r>
      <w:r w:rsidR="00713515">
        <w:fldChar w:fldCharType="separate"/>
      </w:r>
      <w:r w:rsidR="00713515">
        <w:t>[2]</w:t>
      </w:r>
      <w:r w:rsidR="00713515">
        <w:fldChar w:fldCharType="end"/>
      </w:r>
      <w:r>
        <w:t xml:space="preserve">, we discuss UL beam management </w:t>
      </w:r>
      <w:r w:rsidR="00713515">
        <w:t>using procedures U1, U2, and U3 based on configuration of multiple SRS resources at the UE</w:t>
      </w:r>
      <w:r>
        <w:t>. UL beam management may be required in addition to DL beam management in cases where Tx/Rx beam correspondence does not hold at the gNB and/or UE. If Tx/Rx correspondence does hold, UL beam management could be used as a replacement for DL b</w:t>
      </w:r>
      <w:r w:rsidR="00FE7BD0">
        <w:t xml:space="preserve">eam management; however, this </w:t>
      </w:r>
      <w:r>
        <w:t xml:space="preserve">may depend on the </w:t>
      </w:r>
      <w:r w:rsidR="00713515">
        <w:t xml:space="preserve">deployment </w:t>
      </w:r>
      <w:r>
        <w:t>scenario.</w:t>
      </w:r>
    </w:p>
    <w:p w14:paraId="3B83D70F" w14:textId="79CCE22C" w:rsidR="00885913" w:rsidRDefault="002316D5" w:rsidP="00EF6CBC">
      <w:r>
        <w:t xml:space="preserve">In this contribution, we elaborate on </w:t>
      </w:r>
      <w:r w:rsidR="00E77548">
        <w:t xml:space="preserve">the </w:t>
      </w:r>
      <w:r w:rsidR="00713515">
        <w:t xml:space="preserve">DL beam management </w:t>
      </w:r>
      <w:r>
        <w:t xml:space="preserve">framework </w:t>
      </w:r>
      <w:r w:rsidR="00E77548">
        <w:t xml:space="preserve">in </w:t>
      </w:r>
      <w:r w:rsidR="00713515">
        <w:fldChar w:fldCharType="begin"/>
      </w:r>
      <w:r w:rsidR="00713515">
        <w:instrText xml:space="preserve"> REF _Ref470003074 \r \h </w:instrText>
      </w:r>
      <w:r w:rsidR="00713515">
        <w:fldChar w:fldCharType="separate"/>
      </w:r>
      <w:r w:rsidR="00713515">
        <w:t>[1]</w:t>
      </w:r>
      <w:r w:rsidR="00713515">
        <w:fldChar w:fldCharType="end"/>
      </w:r>
      <w:r w:rsidR="00713515">
        <w:t xml:space="preserve"> </w:t>
      </w:r>
      <w:r>
        <w:t>and introduce the notion of a “baseline” beam management procedure and an “extended” beam management procedure drawing on tools from the toolbox. Broadly speaking, the baseline procedure applies to a coarse level of accuracy</w:t>
      </w:r>
      <w:r w:rsidR="0081051B">
        <w:t xml:space="preserve"> and the extended procedure to an increased level of accuracy. The baseline procedure </w:t>
      </w:r>
      <w:r>
        <w:t>is appropriate for short data sessions where</w:t>
      </w:r>
      <w:r w:rsidR="005A655A" w:rsidRPr="005A655A">
        <w:t xml:space="preserve"> </w:t>
      </w:r>
      <w:r w:rsidR="005A655A">
        <w:t>only a small amount of data is transmitted in downlink and/or uplink</w:t>
      </w:r>
      <w:r>
        <w:t>. The key in the baseline procedure is to quickly find a suitable (coarse, good enough) beam pair link, deliver the data in one or only a few transmission oppo</w:t>
      </w:r>
      <w:r w:rsidR="0081051B">
        <w:t>rtunities, and then go back to I</w:t>
      </w:r>
      <w:r w:rsidR="00D73C8E">
        <w:t>DLE or RRC_INACTIVE</w:t>
      </w:r>
      <w:r>
        <w:t>. In the baseline, the focus is on quick, opportunistic data delivery rather than on robustness</w:t>
      </w:r>
      <w:r w:rsidR="0081051B">
        <w:t xml:space="preserve"> and throughput optimization</w:t>
      </w:r>
      <w:r>
        <w:t>.</w:t>
      </w:r>
      <w:r w:rsidR="0081051B">
        <w:t xml:space="preserve"> In today’s networks, the traffic profile is such that a very large fraction of data sessions, e.g., 90%, are short. Hence it is envisioned that the baseline procedure is used in most cases.</w:t>
      </w:r>
      <w:r>
        <w:t xml:space="preserve"> </w:t>
      </w:r>
    </w:p>
    <w:p w14:paraId="35E55997" w14:textId="5344C67C" w:rsidR="00885913" w:rsidRDefault="00885913" w:rsidP="001B2399">
      <w:pPr>
        <w:pStyle w:val="Observation"/>
      </w:pPr>
      <w:bookmarkStart w:id="2" w:name="_Toc471729333"/>
      <w:r>
        <w:lastRenderedPageBreak/>
        <w:t>Most packets in today’s network are small and appear bursty, which implies that some baseline beam management should be in place to handle these packets without extensive beam management procedures</w:t>
      </w:r>
      <w:bookmarkEnd w:id="2"/>
    </w:p>
    <w:p w14:paraId="1A900954" w14:textId="419E7C9D" w:rsidR="002316D5" w:rsidRDefault="002316D5" w:rsidP="00EF6CBC">
      <w:r>
        <w:t xml:space="preserve">In contrast, the extended procedure applies to an enhanced level of accuracy, and is appropriate for longer data sessions. In this case, the UE spends more </w:t>
      </w:r>
      <w:r w:rsidR="0081051B">
        <w:t xml:space="preserve">time in </w:t>
      </w:r>
      <w:r w:rsidR="00D73C8E">
        <w:t xml:space="preserve">the </w:t>
      </w:r>
      <w:r w:rsidR="0081051B">
        <w:t>RRC</w:t>
      </w:r>
      <w:r w:rsidR="00D73C8E">
        <w:t>_</w:t>
      </w:r>
      <w:r w:rsidR="0081051B">
        <w:t>C</w:t>
      </w:r>
      <w:r w:rsidR="00D73C8E">
        <w:t>ONNECTED</w:t>
      </w:r>
      <w:r w:rsidR="0081051B">
        <w:t xml:space="preserve"> </w:t>
      </w:r>
      <w:r w:rsidR="00D73C8E">
        <w:t>state</w:t>
      </w:r>
      <w:r w:rsidR="0081051B">
        <w:t xml:space="preserve">, allowing the network to build in </w:t>
      </w:r>
      <w:r>
        <w:t>robustness and data t</w:t>
      </w:r>
      <w:r w:rsidR="0081051B">
        <w:t>hroughput optimizations for both the control and data channels before the UE goes back to I</w:t>
      </w:r>
      <w:r w:rsidR="00D73C8E">
        <w:t>DLE</w:t>
      </w:r>
      <w:r w:rsidR="00713515">
        <w:t xml:space="preserve"> or RRC_INACTIVE</w:t>
      </w:r>
      <w:r w:rsidR="0081051B">
        <w:t>. The division between short and long is not necessarily clear cut; however, the network has visibility on what procedures to invoke (baseline or extended), for example, using its knowledge of buffer states in both the DL and the UL. In the latter, the network is made aware of buffer state through regular buffer status reports once the UE is in connected mode.</w:t>
      </w:r>
    </w:p>
    <w:p w14:paraId="22C2ACF7" w14:textId="7E73FDCE" w:rsidR="0081051B" w:rsidRDefault="0081051B" w:rsidP="00EF6CBC">
      <w:r>
        <w:t>The key components of the baseline and extended beam management procedures are as follows</w:t>
      </w:r>
      <w:r w:rsidR="00245B11">
        <w:t>.</w:t>
      </w:r>
    </w:p>
    <w:p w14:paraId="5005A716" w14:textId="100D5AB0" w:rsidR="00245B11" w:rsidRDefault="00245B11" w:rsidP="00B02D9D">
      <w:pPr>
        <w:pStyle w:val="Heading2"/>
      </w:pPr>
      <w:r>
        <w:t>Baseline Procedure</w:t>
      </w:r>
    </w:p>
    <w:p w14:paraId="566D645B" w14:textId="77777777" w:rsidR="001B2399" w:rsidRDefault="00AD6456" w:rsidP="00B02D9D">
      <w:r>
        <w:t>The baseline procedure is characterized by</w:t>
      </w:r>
      <w:r w:rsidR="00FF0E47">
        <w:t xml:space="preserve"> the establishment of a single beam-pair link (BPL) </w:t>
      </w:r>
      <w:r w:rsidR="001734AD">
        <w:t>to be used for both control (PDCCH</w:t>
      </w:r>
      <w:r w:rsidR="00885913">
        <w:t xml:space="preserve"> and PUCCH</w:t>
      </w:r>
      <w:r w:rsidR="001734AD">
        <w:t>) and data transmission (PDSCH</w:t>
      </w:r>
      <w:r w:rsidR="00885913">
        <w:t xml:space="preserve"> and PUSCH</w:t>
      </w:r>
      <w:r w:rsidR="001734AD">
        <w:t>). A</w:t>
      </w:r>
      <w:r w:rsidR="00FF0E47">
        <w:t xml:space="preserve"> BPL consists of the link between the gNB and </w:t>
      </w:r>
      <w:r w:rsidR="008C6A74">
        <w:t xml:space="preserve">a </w:t>
      </w:r>
      <w:r w:rsidR="00FF0E47">
        <w:t>UE considering a particular gNB Tx beam and UE Rx beam. The establishment procedure is transparent to the UE in the sense that no explicit downlink signalling is used to inform the UE of what gNB Tx beam is used</w:t>
      </w:r>
      <w:r w:rsidR="00893BBB">
        <w:t xml:space="preserve"> or what UE Rx beam should be used</w:t>
      </w:r>
      <w:r w:rsidR="008C6A74">
        <w:t xml:space="preserve">. </w:t>
      </w:r>
      <w:r w:rsidR="00885913">
        <w:t xml:space="preserve">Hence, this is the case </w:t>
      </w:r>
      <w:r w:rsidR="00AD6123">
        <w:t xml:space="preserve">of operation </w:t>
      </w:r>
      <w:r w:rsidR="00AD6123" w:rsidRPr="00A0304D">
        <w:rPr>
          <w:i/>
        </w:rPr>
        <w:t>without</w:t>
      </w:r>
      <w:r w:rsidR="00AD6123">
        <w:t xml:space="preserve"> downlink indication as in the above agreement.</w:t>
      </w:r>
    </w:p>
    <w:p w14:paraId="1C28782E" w14:textId="5C8683E9" w:rsidR="00885913" w:rsidRDefault="00893BBB" w:rsidP="00B02D9D">
      <w:r>
        <w:t>To enable this, t</w:t>
      </w:r>
      <w:r w:rsidR="008C6A74">
        <w:t>he gNB</w:t>
      </w:r>
      <w:r w:rsidR="00A0304D">
        <w:t xml:space="preserve"> transmits </w:t>
      </w:r>
      <w:r w:rsidR="00885913">
        <w:t xml:space="preserve">a sweep of </w:t>
      </w:r>
      <w:r w:rsidR="008C6A74">
        <w:t>multiple beamformed CSI-RS resources</w:t>
      </w:r>
      <w:r w:rsidR="00A0304D">
        <w:t>. The transmission can be aperiodic, semi-persistent, or periodic depending, for example, on the system load</w:t>
      </w:r>
      <w:r w:rsidR="001734AD">
        <w:t xml:space="preserve">. </w:t>
      </w:r>
      <w:r w:rsidR="008C6A74">
        <w:t xml:space="preserve">gNB Tx beam selection is accomplished through </w:t>
      </w:r>
      <w:r>
        <w:t>CSI-RS Resource Indicator (</w:t>
      </w:r>
      <w:r w:rsidR="008C6A74">
        <w:t>CRI</w:t>
      </w:r>
      <w:r>
        <w:t>)</w:t>
      </w:r>
      <w:r w:rsidR="008C6A74">
        <w:t xml:space="preserve"> feedback from the UE</w:t>
      </w:r>
      <w:r>
        <w:t>, similar to Class B, K&gt;1 operation in LTE</w:t>
      </w:r>
      <w:r w:rsidR="008C6A74">
        <w:t>. The feedback also includes CSI (RI/PMI/CQI) to all</w:t>
      </w:r>
      <w:r w:rsidR="00FE7BD0">
        <w:t xml:space="preserve">ow direct scheduling of the UE. </w:t>
      </w:r>
      <w:r w:rsidR="00885913">
        <w:t xml:space="preserve">Alternatively, only a CSI-RSRP feedback can be configured as the feedback from the sweep, when can be used for rudimentary, coarse link adaptation. </w:t>
      </w:r>
    </w:p>
    <w:p w14:paraId="2CBE1F15" w14:textId="4AD65931" w:rsidR="008C6A74" w:rsidRDefault="00C906CE" w:rsidP="00B02D9D">
      <w:r>
        <w:t>T</w:t>
      </w:r>
      <w:r w:rsidR="008C6A74">
        <w:t>he baseline</w:t>
      </w:r>
      <w:r>
        <w:t xml:space="preserve"> procedure primarily</w:t>
      </w:r>
      <w:r w:rsidR="008C6A74">
        <w:t xml:space="preserve"> consists of</w:t>
      </w:r>
      <w:r>
        <w:t xml:space="preserve"> procedure P1, and optionally P2/P3</w:t>
      </w:r>
      <w:r w:rsidR="004F3401">
        <w:t xml:space="preserve"> for moderate-length data sessions, i.e., sessions not long enough to warrant the extended procedure.</w:t>
      </w:r>
    </w:p>
    <w:p w14:paraId="5470C489" w14:textId="1520AF69" w:rsidR="00893BBB" w:rsidRDefault="00FC62DB" w:rsidP="00B02D9D">
      <w:r>
        <w:t xml:space="preserve">An illustrative </w:t>
      </w:r>
      <w:r w:rsidR="00893BBB">
        <w:t>sequence of steps in the baseline procedure is as follows:</w:t>
      </w:r>
    </w:p>
    <w:p w14:paraId="7184265A" w14:textId="44150417" w:rsidR="001734AD" w:rsidRDefault="00C32FAF" w:rsidP="00B02D9D">
      <w:pPr>
        <w:pStyle w:val="ListParagraph"/>
        <w:numPr>
          <w:ilvl w:val="0"/>
          <w:numId w:val="26"/>
        </w:numPr>
      </w:pPr>
      <w:r>
        <w:t>T</w:t>
      </w:r>
      <w:r w:rsidR="00893BBB">
        <w:t xml:space="preserve">he </w:t>
      </w:r>
      <w:r>
        <w:t>gNB configures the U</w:t>
      </w:r>
      <w:r w:rsidR="00893BBB">
        <w:t>E to measure and report on multiple (K) beamformed periodic CSI-RS resources</w:t>
      </w:r>
      <w:r>
        <w:t xml:space="preserve"> when the UE </w:t>
      </w:r>
      <w:r w:rsidR="00885913">
        <w:t>transitions</w:t>
      </w:r>
      <w:r>
        <w:t xml:space="preserve"> from IDLE to CONNECTED, or when the UE hands over to a new cell</w:t>
      </w:r>
      <w:r w:rsidR="00893BBB">
        <w:t>.</w:t>
      </w:r>
      <w:r w:rsidR="00B90062">
        <w:t xml:space="preserve"> For example, the different resources correspond to different gNB Tx beams that cover the whole service area for the gNB. In LTE, this configuration occurs in the RRC Connection Setup procedure </w:t>
      </w:r>
      <w:r w:rsidR="00652ABB">
        <w:t xml:space="preserve">(part of Msg4) </w:t>
      </w:r>
      <w:r w:rsidR="00B90062">
        <w:t xml:space="preserve">or the RRC Connection Reconfiguration procedure as part of a handover. Covering the whole service area in a </w:t>
      </w:r>
      <w:r w:rsidR="00A0304D">
        <w:t>semi-persistent/</w:t>
      </w:r>
      <w:r w:rsidR="00B90062">
        <w:t xml:space="preserve">periodic beam sweep is efficient for the case of moderate to high load where there are a sufficient number of UEs undergoing state changes and/or handover. </w:t>
      </w:r>
      <w:r w:rsidR="00652ABB">
        <w:t>At</w:t>
      </w:r>
      <w:r w:rsidR="00B90062">
        <w:t xml:space="preserve"> low load, it could be more efficient (in terms of resource utilizati</w:t>
      </w:r>
      <w:r w:rsidR="00652ABB">
        <w:t xml:space="preserve">on) to rely on aperiodic CSI-RS transmission on a UE specific basis. In this case, </w:t>
      </w:r>
      <w:r w:rsidR="001734AD">
        <w:t>if</w:t>
      </w:r>
      <w:r w:rsidR="00B90062">
        <w:t xml:space="preserve"> the gNB has some </w:t>
      </w:r>
      <w:r w:rsidR="001734AD">
        <w:t xml:space="preserve">rough </w:t>
      </w:r>
      <w:r w:rsidR="00B90062">
        <w:t xml:space="preserve">a priori knowledge of user location, e.g., a coarse beam direction obtained during the RACH procedure, then the beamformed CSI-RS resources could be </w:t>
      </w:r>
      <w:r w:rsidR="001734AD">
        <w:t>constrained</w:t>
      </w:r>
      <w:r w:rsidR="00B90062">
        <w:t xml:space="preserve"> to cover a local area around the coarse beam</w:t>
      </w:r>
      <w:r w:rsidR="001734AD">
        <w:t xml:space="preserve"> direction; however, this is transparent to the UE.</w:t>
      </w:r>
    </w:p>
    <w:p w14:paraId="59CCD0A0" w14:textId="7C332C0B" w:rsidR="00911DE5" w:rsidRDefault="00C32FAF" w:rsidP="00B02D9D">
      <w:pPr>
        <w:pStyle w:val="ListParagraph"/>
        <w:numPr>
          <w:ilvl w:val="0"/>
          <w:numId w:val="26"/>
        </w:numPr>
      </w:pPr>
      <w:r>
        <w:t xml:space="preserve">The UE determines an </w:t>
      </w:r>
      <w:r w:rsidR="001734AD">
        <w:t xml:space="preserve">initial UE Rx beam </w:t>
      </w:r>
      <w:r>
        <w:t>w</w:t>
      </w:r>
      <w:r w:rsidR="001734AD">
        <w:t xml:space="preserve">ithout dedicated NW assistance. </w:t>
      </w:r>
      <w:r w:rsidR="009F18C1">
        <w:t>Unless the UE</w:t>
      </w:r>
      <w:r w:rsidR="00911DE5">
        <w:t xml:space="preserve"> has some a priori knowledge of a suitable beam direction, it will need to use a wide beam. Hence the system must be dimensioned to ensure sufficient PDCCH coverage even if the UE is not using Rx beamforming.</w:t>
      </w:r>
    </w:p>
    <w:p w14:paraId="14A72EB0" w14:textId="63966A9F" w:rsidR="009F18C1" w:rsidRDefault="00885913" w:rsidP="00B02D9D">
      <w:pPr>
        <w:pStyle w:val="ListParagraph"/>
        <w:numPr>
          <w:ilvl w:val="0"/>
          <w:numId w:val="26"/>
        </w:numPr>
      </w:pPr>
      <w:r>
        <w:t>Depending on the configuration, t</w:t>
      </w:r>
      <w:r w:rsidR="00911DE5">
        <w:t>he UE reports CRI indicating the best gNB Tx beam in combination with CSI (RI/PMI/CQI) for that beam</w:t>
      </w:r>
      <w:r>
        <w:t>, or RSRP for multiple of the K beams</w:t>
      </w:r>
      <w:r w:rsidR="009F18C1">
        <w:t>. The UE will likely need to use a wide beam for transmission of the CSI report, e.g., over PUCCH. Likewise, the gNB will most likely need to use a wide Rx beam for reception of the CSI report.</w:t>
      </w:r>
      <w:r w:rsidR="009F18C1" w:rsidRPr="009F18C1">
        <w:t xml:space="preserve"> </w:t>
      </w:r>
      <w:r w:rsidR="009F18C1">
        <w:t>Hence the system must be dimensioned to ensure sufficient PUCCH coverage even without UE Tx and gNB Rx beamforming.</w:t>
      </w:r>
    </w:p>
    <w:p w14:paraId="62D9A27E" w14:textId="5E61D81E" w:rsidR="00D03B8A" w:rsidRDefault="00D03B8A" w:rsidP="00B02D9D">
      <w:pPr>
        <w:pStyle w:val="ListParagraph"/>
        <w:numPr>
          <w:ilvl w:val="0"/>
          <w:numId w:val="26"/>
        </w:numPr>
      </w:pPr>
      <w:r>
        <w:t>The gNB updates it transmit beam based on the UE report</w:t>
      </w:r>
      <w:r w:rsidR="00F17BE4">
        <w:t xml:space="preserve"> and uses that beam for both PDCCH and PDSCH transmissions taking into account the reported CSI. No explicit DL signalling is necessary to indicate the updated gNB Tx beam.</w:t>
      </w:r>
      <w:r w:rsidR="00B12818">
        <w:t xml:space="preserve"> In addition, </w:t>
      </w:r>
      <w:r w:rsidR="00B02D9D">
        <w:t>the gNB may use the same beam direction for future reception of PUCCH/PUSCH</w:t>
      </w:r>
      <w:r w:rsidR="00B12818">
        <w:t xml:space="preserve"> as long as Tx/Rx correspondence holds at the gNB.</w:t>
      </w:r>
    </w:p>
    <w:p w14:paraId="790B1455" w14:textId="2F879707" w:rsidR="00C32FAF" w:rsidRDefault="009A1DBD" w:rsidP="00B02D9D">
      <w:pPr>
        <w:pStyle w:val="ListParagraph"/>
        <w:numPr>
          <w:ilvl w:val="0"/>
          <w:numId w:val="26"/>
        </w:numPr>
      </w:pPr>
      <w:r>
        <w:lastRenderedPageBreak/>
        <w:t xml:space="preserve">The gNB determines </w:t>
      </w:r>
      <w:r w:rsidR="001745E6">
        <w:t>the expected duration of the data session</w:t>
      </w:r>
      <w:r>
        <w:t>, for example,</w:t>
      </w:r>
      <w:r w:rsidR="001745E6">
        <w:t xml:space="preserve"> through its </w:t>
      </w:r>
      <w:r w:rsidR="00B12818">
        <w:t xml:space="preserve">observability of DL/UL </w:t>
      </w:r>
      <w:r w:rsidR="001745E6">
        <w:t xml:space="preserve">buffer status. </w:t>
      </w:r>
      <w:r w:rsidR="00F17BE4">
        <w:t xml:space="preserve">Since much of the traffic consists of short data sessions, it may often happen that all data has been delivered in one or at most a few slots. If so, then the baseline procedure as described </w:t>
      </w:r>
      <w:r w:rsidR="00C906CE">
        <w:t>above</w:t>
      </w:r>
      <w:r w:rsidR="00F17BE4">
        <w:t xml:space="preserve"> is all that is necessary for a given UE. </w:t>
      </w:r>
      <w:r w:rsidR="00C906CE">
        <w:t>For longer data sessions, but not long enough to invoke the extended procedure described in the next section</w:t>
      </w:r>
      <w:r w:rsidR="00F17BE4">
        <w:t>, i</w:t>
      </w:r>
      <w:r w:rsidR="00DA6757">
        <w:t xml:space="preserve">t may be beneficial </w:t>
      </w:r>
      <w:r w:rsidR="001745E6">
        <w:t>to refine</w:t>
      </w:r>
      <w:r>
        <w:t xml:space="preserve"> the established</w:t>
      </w:r>
      <w:r w:rsidR="001745E6">
        <w:t xml:space="preserve"> </w:t>
      </w:r>
      <w:r>
        <w:t>beam pair link</w:t>
      </w:r>
      <w:r w:rsidR="00C906CE">
        <w:t>.</w:t>
      </w:r>
      <w:r>
        <w:t xml:space="preserve"> If so</w:t>
      </w:r>
      <w:r w:rsidR="00C906CE">
        <w:t>, the BPL may be refined using procedures P2 and/or P3.</w:t>
      </w:r>
    </w:p>
    <w:p w14:paraId="05ED15E7" w14:textId="3F5AB887" w:rsidR="00C32FAF" w:rsidRDefault="00C906CE" w:rsidP="00B02D9D">
      <w:pPr>
        <w:pStyle w:val="ListParagraph"/>
        <w:numPr>
          <w:ilvl w:val="0"/>
          <w:numId w:val="26"/>
        </w:numPr>
      </w:pPr>
      <w:r>
        <w:t>Optionally refine the BPL</w:t>
      </w:r>
      <w:r w:rsidR="00B12818">
        <w:t xml:space="preserve"> using P2 and/or P3</w:t>
      </w:r>
    </w:p>
    <w:p w14:paraId="12E715C6" w14:textId="6139AE5A" w:rsidR="00C32FAF" w:rsidRDefault="00C32FAF" w:rsidP="00B02D9D">
      <w:pPr>
        <w:pStyle w:val="ListParagraph"/>
        <w:numPr>
          <w:ilvl w:val="1"/>
          <w:numId w:val="26"/>
        </w:numPr>
      </w:pPr>
      <w:r>
        <w:t>T</w:t>
      </w:r>
      <w:r w:rsidR="00C906CE">
        <w:t xml:space="preserve">he gNB triggers </w:t>
      </w:r>
      <w:r w:rsidR="00DA6757">
        <w:t xml:space="preserve">a UE Rx beam sweep based on </w:t>
      </w:r>
      <w:r w:rsidR="00C906CE">
        <w:t xml:space="preserve">configuring </w:t>
      </w:r>
      <w:r w:rsidR="001745E6">
        <w:t xml:space="preserve">one or more </w:t>
      </w:r>
      <w:r w:rsidR="00DA6757">
        <w:t>aperiodic</w:t>
      </w:r>
      <w:r>
        <w:t xml:space="preserve"> (UE specific)</w:t>
      </w:r>
      <w:r w:rsidR="00DA6757">
        <w:t xml:space="preserve"> beamformed CSI-RS resource</w:t>
      </w:r>
      <w:r w:rsidR="001745E6">
        <w:t>s</w:t>
      </w:r>
      <w:r w:rsidR="00FD33BC">
        <w:t xml:space="preserve">. </w:t>
      </w:r>
      <w:r w:rsidR="00B12818">
        <w:t xml:space="preserve">For example, if the CSI-RS resources are drawn from an RRC configured pool, the pre-configuration may be performed at the same time as initial connection setup (described above). Then, the needed CSI-RS resources for this step could be dynamically allocated from the pool when needed. </w:t>
      </w:r>
      <w:r w:rsidR="00FD33BC">
        <w:t xml:space="preserve">The beamformed CSI-RS resources are constrained to cover a local area around the previously used gNB Tx beam. </w:t>
      </w:r>
      <w:r w:rsidR="00DA6757">
        <w:t xml:space="preserve">In this procedure, </w:t>
      </w:r>
      <w:r w:rsidR="001745E6">
        <w:t xml:space="preserve">each </w:t>
      </w:r>
      <w:r w:rsidR="00DA6757">
        <w:t>CSI-RS beam is fixed for some number of time units while t</w:t>
      </w:r>
      <w:r>
        <w:t>he UE tries different Rx beams.</w:t>
      </w:r>
    </w:p>
    <w:p w14:paraId="2C815DA6" w14:textId="240FEFE9" w:rsidR="00C32FAF" w:rsidRDefault="00DA6757" w:rsidP="00B02D9D">
      <w:pPr>
        <w:pStyle w:val="ListParagraph"/>
        <w:numPr>
          <w:ilvl w:val="1"/>
          <w:numId w:val="26"/>
        </w:numPr>
      </w:pPr>
      <w:r>
        <w:t xml:space="preserve">The UE feeds back </w:t>
      </w:r>
      <w:r w:rsidR="00C32FAF">
        <w:t>CRI</w:t>
      </w:r>
      <w:r w:rsidR="00B12818">
        <w:t xml:space="preserve"> indicating the best gNB Tx beam and simultaneously updates its own Rx beam. The</w:t>
      </w:r>
      <w:r w:rsidR="00C32FAF">
        <w:t xml:space="preserve"> </w:t>
      </w:r>
      <w:r w:rsidR="00B12818">
        <w:t xml:space="preserve">CRI </w:t>
      </w:r>
      <w:r w:rsidR="00C32FAF">
        <w:t>report is accompanied by a CSI report corresponding to the refined BPL</w:t>
      </w:r>
      <w:r w:rsidR="00C906CE">
        <w:t xml:space="preserve">. </w:t>
      </w:r>
    </w:p>
    <w:p w14:paraId="0B53C4F7" w14:textId="546112D1" w:rsidR="00911DE5" w:rsidRDefault="00C32FAF" w:rsidP="00B02D9D">
      <w:pPr>
        <w:pStyle w:val="ListParagraph"/>
        <w:numPr>
          <w:ilvl w:val="1"/>
          <w:numId w:val="26"/>
        </w:numPr>
      </w:pPr>
      <w:r>
        <w:t xml:space="preserve">The gNB updates its </w:t>
      </w:r>
      <w:r w:rsidR="00FD33BC">
        <w:t>Tx beam based on the CRI report from the UE. This refined BPL is used for the rema</w:t>
      </w:r>
      <w:r w:rsidR="00B12818">
        <w:t>ining PDCCH/PDSCH transmissions in the data session.</w:t>
      </w:r>
    </w:p>
    <w:p w14:paraId="0B81B99A" w14:textId="24E40EF1" w:rsidR="00B90062" w:rsidRDefault="00B90062" w:rsidP="00911DE5">
      <w:pPr>
        <w:pStyle w:val="ListParagraph"/>
      </w:pPr>
    </w:p>
    <w:p w14:paraId="223196C5" w14:textId="311A6A48" w:rsidR="00245B11" w:rsidRDefault="00245B11" w:rsidP="00911DE5">
      <w:pPr>
        <w:pStyle w:val="Heading2"/>
      </w:pPr>
      <w:r>
        <w:t>Extended Procedure</w:t>
      </w:r>
    </w:p>
    <w:p w14:paraId="2DA6305F" w14:textId="47B6573A" w:rsidR="00BE2240" w:rsidRDefault="006A3CAF" w:rsidP="00B02D9D">
      <w:r>
        <w:t>The extended procedure is intended for long data sessions where there is time to build in extra robustness for PDCCH transmission and optimize PDSCH transmissions. The procedure is characterized by</w:t>
      </w:r>
      <w:r w:rsidR="00BE2240">
        <w:t xml:space="preserve"> establishment of at least a second beam-pair link (BPL) to be used for PDCCH robustness purposes (see </w:t>
      </w:r>
      <w:r w:rsidR="00BE2240">
        <w:fldChar w:fldCharType="begin"/>
      </w:r>
      <w:r w:rsidR="00BE2240">
        <w:instrText xml:space="preserve"> REF _Ref471303880 \r \h </w:instrText>
      </w:r>
      <w:r w:rsidR="00BE2240">
        <w:fldChar w:fldCharType="separate"/>
      </w:r>
      <w:r w:rsidR="00BE2240">
        <w:t>[3]</w:t>
      </w:r>
      <w:r w:rsidR="00BE2240">
        <w:fldChar w:fldCharType="end"/>
      </w:r>
      <w:r w:rsidR="00BE2240">
        <w:t>). The first BPL is referred to as the “active BPL,” and the second (backup) one as the “monitored BPL.” The purpose of having two links is for recovery from sudden blocking events that can occur at</w:t>
      </w:r>
      <w:r w:rsidR="00B765A2">
        <w:t xml:space="preserve"> mmW</w:t>
      </w:r>
      <w:r w:rsidR="00BE2240">
        <w:t xml:space="preserve"> frequencies. The approach </w:t>
      </w:r>
      <w:r w:rsidR="00F946B6">
        <w:t xml:space="preserve">proposed </w:t>
      </w:r>
      <w:r w:rsidR="00BE2240">
        <w:t xml:space="preserve">in </w:t>
      </w:r>
      <w:r w:rsidR="00BE2240">
        <w:fldChar w:fldCharType="begin"/>
      </w:r>
      <w:r w:rsidR="00BE2240">
        <w:instrText xml:space="preserve"> REF _Ref471303880 \r \h </w:instrText>
      </w:r>
      <w:r w:rsidR="00BE2240">
        <w:fldChar w:fldCharType="separate"/>
      </w:r>
      <w:r w:rsidR="00BE2240">
        <w:t>[3]</w:t>
      </w:r>
      <w:r w:rsidR="00BE2240">
        <w:fldChar w:fldCharType="end"/>
      </w:r>
      <w:r w:rsidR="00BE2240">
        <w:t xml:space="preserve"> is for the UE to periodically search for PDCCH transmissions</w:t>
      </w:r>
      <w:r w:rsidR="0001281A">
        <w:t xml:space="preserve"> on the monitored BPL with </w:t>
      </w:r>
      <w:r w:rsidR="00EC4D92">
        <w:t>a relatively low duty cycle, e.g., 1</w:t>
      </w:r>
      <w:r w:rsidR="009A1DBD">
        <w:t xml:space="preserve"> </w:t>
      </w:r>
      <w:r w:rsidR="00EC4D92">
        <w:t>in 10 slots. The periodicity is agreed between gNB and UE such that the UE knows to switch its Rx beam to search for the PDCCH</w:t>
      </w:r>
      <w:r w:rsidR="00B765A2">
        <w:t xml:space="preserve"> on the monitored BPL</w:t>
      </w:r>
      <w:r w:rsidR="00EC4D92">
        <w:t xml:space="preserve"> during the appropriate slot. In this way, </w:t>
      </w:r>
      <w:r w:rsidR="0001281A">
        <w:t>if the active BPL is blocked, PDCCH still gets through</w:t>
      </w:r>
      <w:r w:rsidR="00EC4D92">
        <w:t>.</w:t>
      </w:r>
      <w:r w:rsidR="00F946B6">
        <w:t xml:space="preserve"> </w:t>
      </w:r>
      <w:r w:rsidR="004D3DEE">
        <w:t xml:space="preserve">This can be detected at the gNB, and if the blockage continues, the gNB can switch BPLs such that the monitored BPL becomes the new active BPL. Maintaining two BPLs and </w:t>
      </w:r>
      <w:r w:rsidR="00FC62DB">
        <w:t xml:space="preserve">possibly </w:t>
      </w:r>
      <w:r w:rsidR="004D3DEE">
        <w:t xml:space="preserve">switching between them requires the use of </w:t>
      </w:r>
      <w:r w:rsidR="00FC62DB">
        <w:t xml:space="preserve">a BPL </w:t>
      </w:r>
      <w:r w:rsidR="004D3DEE">
        <w:t>identifier, or tag, for the gNB to indicate to the UE which BPL is updated</w:t>
      </w:r>
      <w:r w:rsidR="00B765A2">
        <w:t xml:space="preserve"> on an ongoing basis.</w:t>
      </w:r>
      <w:r w:rsidR="00AD6123">
        <w:t xml:space="preserve"> Hence, this is the case of operation </w:t>
      </w:r>
      <w:r w:rsidR="00AD6123">
        <w:rPr>
          <w:i/>
        </w:rPr>
        <w:t>with</w:t>
      </w:r>
      <w:r w:rsidR="00AD6123">
        <w:t xml:space="preserve"> downlink indication as in the above agreement.</w:t>
      </w:r>
    </w:p>
    <w:p w14:paraId="43583E82" w14:textId="45EE5F84" w:rsidR="006814F2" w:rsidRDefault="006814F2" w:rsidP="00B02D9D">
      <w:pPr>
        <w:pStyle w:val="Proposal"/>
      </w:pPr>
      <w:bookmarkStart w:id="3" w:name="_Toc471389362"/>
      <w:bookmarkStart w:id="4" w:name="_Toc471729334"/>
      <w:r>
        <w:t>NR supports dynamic indication of an identifier to distinguish between two or more beam pair links maintained by the gNB/UE.</w:t>
      </w:r>
      <w:bookmarkEnd w:id="3"/>
      <w:bookmarkEnd w:id="4"/>
    </w:p>
    <w:p w14:paraId="5355ED95" w14:textId="2737103A" w:rsidR="00FC62DB" w:rsidRDefault="00FC62DB" w:rsidP="00B02D9D">
      <w:r>
        <w:t>An illustrative sequence of steps in the extended procedure is as follows:</w:t>
      </w:r>
    </w:p>
    <w:p w14:paraId="11E12168" w14:textId="5C184993" w:rsidR="00FC62DB" w:rsidRDefault="00ED5B00" w:rsidP="00ED5B00">
      <w:pPr>
        <w:pStyle w:val="ListParagraph"/>
        <w:numPr>
          <w:ilvl w:val="0"/>
          <w:numId w:val="28"/>
        </w:numPr>
      </w:pPr>
      <w:r>
        <w:t>The gNB triggers a refinement of the first (active) BPL using the same procedure as in Step 6 above</w:t>
      </w:r>
      <w:r w:rsidR="006C7CA6">
        <w:t xml:space="preserve"> (P2 and/or P3 procedures)</w:t>
      </w:r>
      <w:r>
        <w:t xml:space="preserve">, </w:t>
      </w:r>
      <w:r w:rsidR="004C1130">
        <w:t>except that when the CSI measurement is triggered, the gNB also transmits an identifier</w:t>
      </w:r>
      <w:r>
        <w:t xml:space="preserve"> to the UE</w:t>
      </w:r>
      <w:r w:rsidR="004C1130">
        <w:t>, e.g., 2 bits, which is used to indicate which BPL is being updated. For example, the 2-bit identifier could be set to ‘</w:t>
      </w:r>
      <w:r w:rsidR="00780834">
        <w:t>00</w:t>
      </w:r>
      <w:r w:rsidR="004C1130">
        <w:t>’ which is reserved for the active BPL.</w:t>
      </w:r>
    </w:p>
    <w:p w14:paraId="69B173DD" w14:textId="74AC7822" w:rsidR="004C1130" w:rsidRDefault="004C1130" w:rsidP="00FC62DB">
      <w:pPr>
        <w:pStyle w:val="ListParagraph"/>
        <w:numPr>
          <w:ilvl w:val="0"/>
          <w:numId w:val="28"/>
        </w:numPr>
      </w:pPr>
      <w:r>
        <w:t>The UE stores (remembers) the refined Rx b</w:t>
      </w:r>
      <w:r w:rsidR="00ED5B00">
        <w:t>eam sett</w:t>
      </w:r>
      <w:r w:rsidR="004177AF">
        <w:t>ing according to the identifier for the active BPL.</w:t>
      </w:r>
    </w:p>
    <w:p w14:paraId="7E66C6D6" w14:textId="324E1F9B" w:rsidR="00ED5B00" w:rsidRDefault="004177AF" w:rsidP="00FC62DB">
      <w:pPr>
        <w:pStyle w:val="ListParagraph"/>
        <w:numPr>
          <w:ilvl w:val="0"/>
          <w:numId w:val="28"/>
        </w:numPr>
      </w:pPr>
      <w:r>
        <w:t xml:space="preserve">The gNB triggers the establishment of a second (monitored) BPL using the same procedure as in Step 6 above, except that it avoids </w:t>
      </w:r>
      <w:r w:rsidR="004D11B3">
        <w:t>using the</w:t>
      </w:r>
      <w:r>
        <w:t xml:space="preserve"> same gNB Tx beam as t</w:t>
      </w:r>
      <w:r w:rsidR="004D11B3">
        <w:t>he active BPL. Furthermore, it may configure a beam sweep over a wider area than that used to refine the active BPL in order to discover a new link. Along with the CSI measurement trigger, the gNB transmits a 2-bit identifier with value set, e.g., to ‘</w:t>
      </w:r>
      <w:r w:rsidR="00780834">
        <w:t>01</w:t>
      </w:r>
      <w:r w:rsidR="004D11B3">
        <w:t>’</w:t>
      </w:r>
      <w:r w:rsidR="00780834">
        <w:t xml:space="preserve"> to indicate that the gNB Tx beam and UE Rx beam is being updated for the monitored link.</w:t>
      </w:r>
    </w:p>
    <w:p w14:paraId="071C4F9B" w14:textId="5431AD85" w:rsidR="004D11B3" w:rsidRDefault="004D11B3" w:rsidP="00FC62DB">
      <w:pPr>
        <w:pStyle w:val="ListParagraph"/>
        <w:numPr>
          <w:ilvl w:val="0"/>
          <w:numId w:val="28"/>
        </w:numPr>
      </w:pPr>
      <w:r>
        <w:t>The UE stores (remembers) the Rx beam setting according to the identifier for the monitored BPL. The UE then switches back to the Rx beam used for the active BPL for reception of the next PDCCH transmission.</w:t>
      </w:r>
    </w:p>
    <w:p w14:paraId="3320CD49" w14:textId="50BE86CD" w:rsidR="00780834" w:rsidRDefault="00780834" w:rsidP="00FC62DB">
      <w:pPr>
        <w:pStyle w:val="ListParagraph"/>
        <w:numPr>
          <w:ilvl w:val="0"/>
          <w:numId w:val="28"/>
        </w:numPr>
      </w:pPr>
      <w:r>
        <w:t xml:space="preserve">On as “as needed” basis, the gNB triggers further refinements/updates of </w:t>
      </w:r>
      <w:r w:rsidR="006814F2">
        <w:t xml:space="preserve">both </w:t>
      </w:r>
      <w:r>
        <w:t>the active and monitored BPLs using the same process as above.</w:t>
      </w:r>
    </w:p>
    <w:p w14:paraId="534150EB" w14:textId="4114DBF0" w:rsidR="00D60BF3" w:rsidRDefault="00264025" w:rsidP="00FC62DB">
      <w:pPr>
        <w:pStyle w:val="ListParagraph"/>
        <w:numPr>
          <w:ilvl w:val="0"/>
          <w:numId w:val="28"/>
        </w:numPr>
      </w:pPr>
      <w:r>
        <w:t>The UE searches for PDCCH transmissions most of the time on the active BPL. With a lower duty cycle (agreed between gNB and UE), the UE searches for PDCCH transmissions on the monitored BPL</w:t>
      </w:r>
      <w:r w:rsidR="009A1DBD">
        <w:t xml:space="preserve"> for one or </w:t>
      </w:r>
      <w:r w:rsidR="009A1DBD">
        <w:lastRenderedPageBreak/>
        <w:t>a few slots</w:t>
      </w:r>
      <w:r>
        <w:t>. In the case that the active BPL becomes blocked, PDCCH transmission may still be received by the UE as long as the monitored BPL does</w:t>
      </w:r>
      <w:r w:rsidR="00D60BF3">
        <w:t xml:space="preserve"> not suffer a similar blocking.</w:t>
      </w:r>
    </w:p>
    <w:p w14:paraId="699EF077" w14:textId="4BAF00B4" w:rsidR="00D60BF3" w:rsidRDefault="00264025" w:rsidP="00D60BF3">
      <w:pPr>
        <w:pStyle w:val="ListParagraph"/>
        <w:numPr>
          <w:ilvl w:val="1"/>
          <w:numId w:val="28"/>
        </w:numPr>
      </w:pPr>
      <w:r>
        <w:t xml:space="preserve">If the active BPL remains blocked, the gNB may </w:t>
      </w:r>
      <w:r w:rsidR="00D60BF3">
        <w:t>trigger a switch of the BPLs such that the monitored BPL becomes the new active BPL</w:t>
      </w:r>
      <w:r w:rsidR="002023B0" w:rsidRPr="002023B0">
        <w:t xml:space="preserve"> </w:t>
      </w:r>
      <w:r w:rsidR="002023B0">
        <w:t>and transmit an indication to the UE at the next possible monitoring instance</w:t>
      </w:r>
      <w:r w:rsidR="00D60BF3">
        <w:t>. The UE responds by switching its Rx beams such that the PDCCH is monitored most often on the new active BPL and less frequently on the new monitored BPL.</w:t>
      </w:r>
    </w:p>
    <w:p w14:paraId="3846396B" w14:textId="7CEA7612" w:rsidR="00264025" w:rsidRDefault="00D60BF3" w:rsidP="006C7CA6">
      <w:pPr>
        <w:pStyle w:val="ListParagraph"/>
        <w:numPr>
          <w:ilvl w:val="1"/>
          <w:numId w:val="28"/>
        </w:numPr>
      </w:pPr>
      <w:r>
        <w:t xml:space="preserve">The gNB may then trigger an update of the monitored BPL to find a better (unblocked) link </w:t>
      </w:r>
    </w:p>
    <w:p w14:paraId="4A49F617" w14:textId="4E2B3175" w:rsidR="006C7CA6" w:rsidRDefault="006C7CA6" w:rsidP="006C7CA6">
      <w:pPr>
        <w:pStyle w:val="ListParagraph"/>
        <w:numPr>
          <w:ilvl w:val="0"/>
          <w:numId w:val="28"/>
        </w:numPr>
      </w:pPr>
      <w:r>
        <w:t xml:space="preserve">If both BPLs become blocked (catastrophic condition) then the UE may declare a radio link failure and initiate an RRC Connection Re-establishment  procedure as in LTE. </w:t>
      </w:r>
      <w:r w:rsidR="00B765A2">
        <w:t>This process is UE initiated through a RACH attempt to the previous or a new cell. Once re-connected, the beam management process</w:t>
      </w:r>
      <w:r>
        <w:t xml:space="preserve"> starts again with the baseline procedure and moves to the extended </w:t>
      </w:r>
      <w:r w:rsidR="00B765A2">
        <w:t>procedure if still</w:t>
      </w:r>
      <w:r>
        <w:t xml:space="preserve"> needed.</w:t>
      </w:r>
    </w:p>
    <w:p w14:paraId="37FD637C" w14:textId="4098B1E0" w:rsidR="006A3CAF" w:rsidRPr="006A3CAF" w:rsidRDefault="006814F2" w:rsidP="00B02D9D">
      <w:pPr>
        <w:pStyle w:val="ListParagraph"/>
        <w:numPr>
          <w:ilvl w:val="0"/>
          <w:numId w:val="28"/>
        </w:numPr>
      </w:pPr>
      <w:r>
        <w:t xml:space="preserve">In addition to </w:t>
      </w:r>
      <w:r w:rsidR="00264025">
        <w:t>establishing active/monito</w:t>
      </w:r>
      <w:r w:rsidR="006C7CA6">
        <w:t>red links for PDCCH robustness, the gNB may establish a 2</w:t>
      </w:r>
      <w:r w:rsidR="006C7CA6" w:rsidRPr="006C7CA6">
        <w:rPr>
          <w:vertAlign w:val="superscript"/>
        </w:rPr>
        <w:t>nd</w:t>
      </w:r>
      <w:r w:rsidR="006C7CA6">
        <w:t xml:space="preserve"> active BPL, not to be used for PDCCH transmissions, using a different identifier value, e.g., ’11.’ The additional active link may be used for optimizing PDSCH </w:t>
      </w:r>
      <w:r w:rsidR="00B765A2">
        <w:t>performance</w:t>
      </w:r>
      <w:r w:rsidR="006C7CA6">
        <w:t>.</w:t>
      </w:r>
      <w:r w:rsidR="00B765A2">
        <w:t xml:space="preserve"> For example, </w:t>
      </w:r>
      <w:r w:rsidR="00C341AB">
        <w:t>higher rank transmission could be supported for D-MIMO or multi-panel transmission. Since the establishment of BPLs may take some time, this optimization is intended for longer data sessions, thus fits better in the extended, rather than baseline procedure.</w:t>
      </w:r>
    </w:p>
    <w:p w14:paraId="2632069B" w14:textId="77777777" w:rsidR="00C01F33" w:rsidRPr="00CE0424" w:rsidRDefault="00C01F33" w:rsidP="003A0E41">
      <w:pPr>
        <w:pStyle w:val="Heading1"/>
      </w:pPr>
      <w:r w:rsidRPr="00CE0424">
        <w:t>Conclusion</w:t>
      </w:r>
      <w:r w:rsidR="00AE2FEB">
        <w:t>s</w:t>
      </w:r>
    </w:p>
    <w:p w14:paraId="68342EAA" w14:textId="28F25406" w:rsidR="002451ED" w:rsidRDefault="003A0E41" w:rsidP="008E065E">
      <w:pPr>
        <w:pStyle w:val="BodyText"/>
      </w:pPr>
      <w:r>
        <w:t>In this contribution we made the following ob</w:t>
      </w:r>
      <w:r w:rsidR="004033B5">
        <w:t>s</w:t>
      </w:r>
      <w:r w:rsidR="00FC771F">
        <w:t>ervation</w:t>
      </w:r>
      <w:r w:rsidR="008E065E" w:rsidRPr="00CE0424">
        <w:t>:</w:t>
      </w:r>
    </w:p>
    <w:p w14:paraId="37ED8678" w14:textId="462A8437" w:rsidR="009A1DBD"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1729333" w:history="1">
        <w:r w:rsidR="009A1DBD" w:rsidRPr="00D9517B">
          <w:rPr>
            <w:rStyle w:val="Hyperlink"/>
          </w:rPr>
          <w:t>Observation 1</w:t>
        </w:r>
        <w:r w:rsidR="009A1DBD">
          <w:rPr>
            <w:rFonts w:asciiTheme="minorHAnsi" w:eastAsiaTheme="minorEastAsia" w:hAnsiTheme="minorHAnsi" w:cstheme="minorBidi"/>
            <w:b w:val="0"/>
            <w:sz w:val="22"/>
            <w:lang w:eastAsia="en-US"/>
          </w:rPr>
          <w:tab/>
        </w:r>
        <w:r w:rsidR="009A1DBD" w:rsidRPr="00D9517B">
          <w:rPr>
            <w:rStyle w:val="Hyperlink"/>
          </w:rPr>
          <w:t>Most packets in today’s network are small and appear bursty, which implies that some baseline beam management should be in place to handle these packets without extensive beam management procedures</w:t>
        </w:r>
      </w:hyperlink>
    </w:p>
    <w:p w14:paraId="6F6D88A8" w14:textId="77777777" w:rsidR="009A1DBD" w:rsidRDefault="00E5689D" w:rsidP="00FC771F">
      <w:pPr>
        <w:pStyle w:val="BodyText"/>
        <w:rPr>
          <w:bCs/>
          <w:noProof/>
          <w:szCs w:val="22"/>
          <w:lang w:val="en-US"/>
        </w:rPr>
      </w:pPr>
      <w:r>
        <w:rPr>
          <w:bCs/>
          <w:noProof/>
          <w:szCs w:val="22"/>
          <w:lang w:val="en-US"/>
        </w:rPr>
        <w:fldChar w:fldCharType="end"/>
      </w:r>
    </w:p>
    <w:p w14:paraId="372D8CDF" w14:textId="07E82203" w:rsidR="00AD6123" w:rsidRPr="00FC771F" w:rsidRDefault="00E5689D" w:rsidP="00FC771F">
      <w:pPr>
        <w:pStyle w:val="BodyText"/>
        <w:rPr>
          <w:bCs/>
          <w:noProof/>
          <w:szCs w:val="22"/>
          <w:lang w:val="en-US"/>
        </w:rPr>
      </w:pPr>
      <w:r>
        <w:t xml:space="preserve">Based on the discussion </w:t>
      </w:r>
      <w:r w:rsidR="009C6832">
        <w:t>in this contri</w:t>
      </w:r>
      <w:r w:rsidR="003A0E41">
        <w:t>bution</w:t>
      </w:r>
      <w:r w:rsidR="008E065E" w:rsidRPr="00CE0424">
        <w:t xml:space="preserve"> we propose the following:</w:t>
      </w:r>
    </w:p>
    <w:p w14:paraId="79E39B60" w14:textId="77777777" w:rsidR="009A1DBD"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A1DBD">
        <w:t>Proposal 1</w:t>
      </w:r>
      <w:r w:rsidR="009A1DBD">
        <w:rPr>
          <w:rFonts w:asciiTheme="minorHAnsi" w:eastAsiaTheme="minorEastAsia" w:hAnsiTheme="minorHAnsi" w:cstheme="minorBidi"/>
          <w:b w:val="0"/>
          <w:sz w:val="22"/>
          <w:lang w:eastAsia="en-US"/>
        </w:rPr>
        <w:tab/>
      </w:r>
      <w:r w:rsidR="009A1DBD">
        <w:t>NR supports dynamic indication of an identifier to distinguish between two or more beam pair links maintained by the gNB/UE.</w:t>
      </w:r>
    </w:p>
    <w:p w14:paraId="26B0C1A0" w14:textId="59645A28" w:rsidR="00C01F33" w:rsidRPr="00790B99" w:rsidRDefault="00E5689D" w:rsidP="00E5689D">
      <w:pPr>
        <w:pStyle w:val="BodyText"/>
        <w:rPr>
          <w:b/>
          <w:bCs/>
        </w:rPr>
      </w:pPr>
      <w:r>
        <w:rPr>
          <w:b/>
          <w:bCs/>
        </w:rPr>
        <w:fldChar w:fldCharType="end"/>
      </w:r>
    </w:p>
    <w:p w14:paraId="6600DDC8" w14:textId="77777777" w:rsidR="00F507D1" w:rsidRPr="00CE0424" w:rsidRDefault="00F507D1" w:rsidP="00CE0424">
      <w:pPr>
        <w:pStyle w:val="Heading1"/>
      </w:pPr>
      <w:bookmarkStart w:id="5" w:name="_In-sequence_SDU_delivery"/>
      <w:bookmarkEnd w:id="5"/>
      <w:r w:rsidRPr="00CE0424">
        <w:t>References</w:t>
      </w:r>
    </w:p>
    <w:p w14:paraId="4A492682" w14:textId="112FC254" w:rsidR="003A7EF3" w:rsidRDefault="00FB08E2" w:rsidP="00CE0424">
      <w:pPr>
        <w:pStyle w:val="Reference"/>
      </w:pPr>
      <w:bookmarkStart w:id="6" w:name="_Ref470003074"/>
      <w:r>
        <w:t>R1-1612345</w:t>
      </w:r>
      <w:r w:rsidR="00220DD8">
        <w:t xml:space="preserve">, </w:t>
      </w:r>
      <w:r>
        <w:t>“Beam management overview,” Ericsson, RAN1#87</w:t>
      </w:r>
      <w:r w:rsidR="00220DD8">
        <w:t xml:space="preserve">, </w:t>
      </w:r>
      <w:r>
        <w:t>November 2016.</w:t>
      </w:r>
      <w:bookmarkEnd w:id="6"/>
    </w:p>
    <w:p w14:paraId="703EC663" w14:textId="4851FD68" w:rsidR="00E77548" w:rsidRDefault="00E77548" w:rsidP="00CE0424">
      <w:pPr>
        <w:pStyle w:val="Reference"/>
      </w:pPr>
      <w:bookmarkStart w:id="7" w:name="_Ref471206035"/>
      <w:r>
        <w:t>R1-17</w:t>
      </w:r>
      <w:r w:rsidR="00FC771F">
        <w:t>00749</w:t>
      </w:r>
      <w:r>
        <w:t>, “On UL beam management,” Ericsson, RAN1#87ah-NR, January 2017.</w:t>
      </w:r>
      <w:bookmarkEnd w:id="7"/>
    </w:p>
    <w:p w14:paraId="3434F2DC" w14:textId="6AB1C2C0" w:rsidR="00BE2240" w:rsidRPr="00CE0424" w:rsidRDefault="00BE2240" w:rsidP="00CE0424">
      <w:pPr>
        <w:pStyle w:val="Reference"/>
      </w:pPr>
      <w:bookmarkStart w:id="8" w:name="_Ref471303880"/>
      <w:r>
        <w:t>R1-17</w:t>
      </w:r>
      <w:r w:rsidR="00FC771F">
        <w:t>00748</w:t>
      </w:r>
      <w:r>
        <w:t>, “On robust beam management,” Ericsson, RAN1#87ah-NR, January 2017.</w:t>
      </w:r>
      <w:bookmarkEnd w:id="8"/>
    </w:p>
    <w:sectPr w:rsidR="00BE2240"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657C3" w14:textId="77777777" w:rsidR="00317DB3" w:rsidRDefault="00317DB3">
      <w:r>
        <w:separator/>
      </w:r>
    </w:p>
  </w:endnote>
  <w:endnote w:type="continuationSeparator" w:id="0">
    <w:p w14:paraId="23723305" w14:textId="77777777" w:rsidR="00317DB3" w:rsidRDefault="0031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143C0" w14:textId="38B8F6BC" w:rsidR="001745E6" w:rsidRDefault="001745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45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459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A0A39" w14:textId="77777777" w:rsidR="00317DB3" w:rsidRDefault="00317DB3">
      <w:r>
        <w:separator/>
      </w:r>
    </w:p>
  </w:footnote>
  <w:footnote w:type="continuationSeparator" w:id="0">
    <w:p w14:paraId="54C13AAD" w14:textId="77777777" w:rsidR="00317DB3" w:rsidRDefault="00317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CDD24" w14:textId="77777777" w:rsidR="001745E6" w:rsidRDefault="001745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08327E"/>
    <w:multiLevelType w:val="hybridMultilevel"/>
    <w:tmpl w:val="96084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3F633E"/>
    <w:multiLevelType w:val="hybridMultilevel"/>
    <w:tmpl w:val="3D14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F5529"/>
    <w:multiLevelType w:val="hybridMultilevel"/>
    <w:tmpl w:val="BB789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932E0F"/>
    <w:multiLevelType w:val="hybridMultilevel"/>
    <w:tmpl w:val="CDB05C8E"/>
    <w:lvl w:ilvl="0" w:tplc="0409000F">
      <w:start w:val="1"/>
      <w:numFmt w:val="decimal"/>
      <w:lvlText w:val="%1."/>
      <w:lvlJc w:val="left"/>
      <w:pPr>
        <w:ind w:left="720" w:hanging="360"/>
      </w:pPr>
      <w:rPr>
        <w:rFonts w:hint="default"/>
      </w:rPr>
    </w:lvl>
    <w:lvl w:ilvl="1" w:tplc="2362F04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263D6"/>
    <w:multiLevelType w:val="hybridMultilevel"/>
    <w:tmpl w:val="1C1E0CB2"/>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790A99"/>
    <w:multiLevelType w:val="hybridMultilevel"/>
    <w:tmpl w:val="77427AB2"/>
    <w:lvl w:ilvl="0" w:tplc="2362F04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0F60D1"/>
    <w:multiLevelType w:val="hybridMultilevel"/>
    <w:tmpl w:val="FF504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F60C7"/>
    <w:multiLevelType w:val="hybridMultilevel"/>
    <w:tmpl w:val="E58CCB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034BF"/>
    <w:multiLevelType w:val="hybridMultilevel"/>
    <w:tmpl w:val="27D44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625A5"/>
    <w:multiLevelType w:val="hybridMultilevel"/>
    <w:tmpl w:val="B3B4A706"/>
    <w:lvl w:ilvl="0" w:tplc="2362F04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1416B"/>
    <w:multiLevelType w:val="hybridMultilevel"/>
    <w:tmpl w:val="AFBA1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4045F"/>
    <w:multiLevelType w:val="hybridMultilevel"/>
    <w:tmpl w:val="C362F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9"/>
  </w:num>
  <w:num w:numId="8">
    <w:abstractNumId w:val="9"/>
  </w:num>
  <w:num w:numId="9">
    <w:abstractNumId w:val="6"/>
  </w:num>
  <w:num w:numId="10">
    <w:abstractNumId w:val="2"/>
  </w:num>
  <w:num w:numId="11">
    <w:abstractNumId w:val="1"/>
  </w:num>
  <w:num w:numId="12">
    <w:abstractNumId w:val="0"/>
  </w:num>
  <w:num w:numId="13">
    <w:abstractNumId w:val="17"/>
  </w:num>
  <w:num w:numId="14">
    <w:abstractNumId w:val="11"/>
  </w:num>
  <w:num w:numId="15">
    <w:abstractNumId w:val="22"/>
  </w:num>
  <w:num w:numId="16">
    <w:abstractNumId w:val="16"/>
  </w:num>
  <w:num w:numId="17">
    <w:abstractNumId w:val="27"/>
  </w:num>
  <w:num w:numId="18">
    <w:abstractNumId w:val="18"/>
  </w:num>
  <w:num w:numId="19">
    <w:abstractNumId w:val="24"/>
  </w:num>
  <w:num w:numId="20">
    <w:abstractNumId w:val="21"/>
  </w:num>
  <w:num w:numId="21">
    <w:abstractNumId w:val="10"/>
  </w:num>
  <w:num w:numId="22">
    <w:abstractNumId w:val="7"/>
  </w:num>
  <w:num w:numId="23">
    <w:abstractNumId w:val="23"/>
  </w:num>
  <w:num w:numId="24">
    <w:abstractNumId w:val="25"/>
  </w:num>
  <w:num w:numId="25">
    <w:abstractNumId w:val="5"/>
  </w:num>
  <w:num w:numId="26">
    <w:abstractNumId w:val="26"/>
  </w:num>
  <w:num w:numId="27">
    <w:abstractNumId w:val="20"/>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835"/>
    <w:rsid w:val="00006446"/>
    <w:rsid w:val="00006896"/>
    <w:rsid w:val="00007CDC"/>
    <w:rsid w:val="00011B28"/>
    <w:rsid w:val="0001281A"/>
    <w:rsid w:val="00015D15"/>
    <w:rsid w:val="00017853"/>
    <w:rsid w:val="0002564D"/>
    <w:rsid w:val="00025ECA"/>
    <w:rsid w:val="00030B30"/>
    <w:rsid w:val="000325B8"/>
    <w:rsid w:val="00034C15"/>
    <w:rsid w:val="00036BA1"/>
    <w:rsid w:val="000400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5E5"/>
    <w:rsid w:val="000A56F2"/>
    <w:rsid w:val="000A72C2"/>
    <w:rsid w:val="000B2719"/>
    <w:rsid w:val="000B3A8F"/>
    <w:rsid w:val="000B4AB9"/>
    <w:rsid w:val="000B58C3"/>
    <w:rsid w:val="000B61E9"/>
    <w:rsid w:val="000C165A"/>
    <w:rsid w:val="000C2E19"/>
    <w:rsid w:val="000D01B3"/>
    <w:rsid w:val="000D0D07"/>
    <w:rsid w:val="000D4797"/>
    <w:rsid w:val="000E0527"/>
    <w:rsid w:val="000E1E92"/>
    <w:rsid w:val="000F06D6"/>
    <w:rsid w:val="000F07BB"/>
    <w:rsid w:val="000F0EB1"/>
    <w:rsid w:val="000F1106"/>
    <w:rsid w:val="000F3BE9"/>
    <w:rsid w:val="000F3DCB"/>
    <w:rsid w:val="000F3F6C"/>
    <w:rsid w:val="000F6DF3"/>
    <w:rsid w:val="001005FF"/>
    <w:rsid w:val="001062FB"/>
    <w:rsid w:val="001063E6"/>
    <w:rsid w:val="0011296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C3D"/>
    <w:rsid w:val="00151E23"/>
    <w:rsid w:val="001526E0"/>
    <w:rsid w:val="0015373E"/>
    <w:rsid w:val="001551B5"/>
    <w:rsid w:val="001659C1"/>
    <w:rsid w:val="001734AD"/>
    <w:rsid w:val="00173A8E"/>
    <w:rsid w:val="001745E6"/>
    <w:rsid w:val="0018143F"/>
    <w:rsid w:val="00190AC1"/>
    <w:rsid w:val="0019341A"/>
    <w:rsid w:val="00197DF9"/>
    <w:rsid w:val="001A1987"/>
    <w:rsid w:val="001A2564"/>
    <w:rsid w:val="001A6173"/>
    <w:rsid w:val="001A6CBA"/>
    <w:rsid w:val="001B0D97"/>
    <w:rsid w:val="001B2399"/>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23B0"/>
    <w:rsid w:val="00203F96"/>
    <w:rsid w:val="002069B2"/>
    <w:rsid w:val="00207FA3"/>
    <w:rsid w:val="00210381"/>
    <w:rsid w:val="00214DA8"/>
    <w:rsid w:val="00215423"/>
    <w:rsid w:val="002158FA"/>
    <w:rsid w:val="00220600"/>
    <w:rsid w:val="00220DD8"/>
    <w:rsid w:val="002224DB"/>
    <w:rsid w:val="00223FCB"/>
    <w:rsid w:val="002252C3"/>
    <w:rsid w:val="00225C54"/>
    <w:rsid w:val="00230765"/>
    <w:rsid w:val="002316D5"/>
    <w:rsid w:val="002319E4"/>
    <w:rsid w:val="0023421B"/>
    <w:rsid w:val="00235632"/>
    <w:rsid w:val="00235872"/>
    <w:rsid w:val="00240C31"/>
    <w:rsid w:val="00241559"/>
    <w:rsid w:val="002435B3"/>
    <w:rsid w:val="002451ED"/>
    <w:rsid w:val="002458EB"/>
    <w:rsid w:val="00245B11"/>
    <w:rsid w:val="002500C8"/>
    <w:rsid w:val="00257543"/>
    <w:rsid w:val="002617E7"/>
    <w:rsid w:val="00264025"/>
    <w:rsid w:val="00264228"/>
    <w:rsid w:val="00264334"/>
    <w:rsid w:val="0026473E"/>
    <w:rsid w:val="00266214"/>
    <w:rsid w:val="00267C83"/>
    <w:rsid w:val="0027144F"/>
    <w:rsid w:val="00271813"/>
    <w:rsid w:val="00271F3A"/>
    <w:rsid w:val="00273278"/>
    <w:rsid w:val="002737F4"/>
    <w:rsid w:val="002747E6"/>
    <w:rsid w:val="00274EFB"/>
    <w:rsid w:val="002805F5"/>
    <w:rsid w:val="00280751"/>
    <w:rsid w:val="0028280A"/>
    <w:rsid w:val="00283D7B"/>
    <w:rsid w:val="00286ACD"/>
    <w:rsid w:val="00287838"/>
    <w:rsid w:val="002907B5"/>
    <w:rsid w:val="00292EB7"/>
    <w:rsid w:val="00296227"/>
    <w:rsid w:val="00296F44"/>
    <w:rsid w:val="0029777D"/>
    <w:rsid w:val="002A055E"/>
    <w:rsid w:val="002A1D4E"/>
    <w:rsid w:val="002A2869"/>
    <w:rsid w:val="002A4D9F"/>
    <w:rsid w:val="002B24D6"/>
    <w:rsid w:val="002C2F88"/>
    <w:rsid w:val="002C41E6"/>
    <w:rsid w:val="002C44B3"/>
    <w:rsid w:val="002D071A"/>
    <w:rsid w:val="002D34B2"/>
    <w:rsid w:val="002D37EF"/>
    <w:rsid w:val="002D4C38"/>
    <w:rsid w:val="002D7637"/>
    <w:rsid w:val="002E17F2"/>
    <w:rsid w:val="002E2ECD"/>
    <w:rsid w:val="002E4007"/>
    <w:rsid w:val="002E7CAE"/>
    <w:rsid w:val="002F2771"/>
    <w:rsid w:val="002F37A9"/>
    <w:rsid w:val="002F6288"/>
    <w:rsid w:val="00301CE6"/>
    <w:rsid w:val="0030256B"/>
    <w:rsid w:val="0030501F"/>
    <w:rsid w:val="00307BA1"/>
    <w:rsid w:val="00311702"/>
    <w:rsid w:val="00311E82"/>
    <w:rsid w:val="00313FD6"/>
    <w:rsid w:val="003143BD"/>
    <w:rsid w:val="00317DB3"/>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371"/>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6D0D"/>
    <w:rsid w:val="00407CD3"/>
    <w:rsid w:val="00410134"/>
    <w:rsid w:val="00410B72"/>
    <w:rsid w:val="00410F18"/>
    <w:rsid w:val="0041263E"/>
    <w:rsid w:val="00413AAC"/>
    <w:rsid w:val="00413E92"/>
    <w:rsid w:val="004177AF"/>
    <w:rsid w:val="00421105"/>
    <w:rsid w:val="004242F4"/>
    <w:rsid w:val="00427248"/>
    <w:rsid w:val="00437447"/>
    <w:rsid w:val="00441782"/>
    <w:rsid w:val="00441A92"/>
    <w:rsid w:val="00444F56"/>
    <w:rsid w:val="00446488"/>
    <w:rsid w:val="004500A5"/>
    <w:rsid w:val="004510B4"/>
    <w:rsid w:val="004517AA"/>
    <w:rsid w:val="00452CAC"/>
    <w:rsid w:val="00457565"/>
    <w:rsid w:val="00457B71"/>
    <w:rsid w:val="00465917"/>
    <w:rsid w:val="004669E2"/>
    <w:rsid w:val="00470C31"/>
    <w:rsid w:val="004734D0"/>
    <w:rsid w:val="004737A8"/>
    <w:rsid w:val="0047556B"/>
    <w:rsid w:val="00477768"/>
    <w:rsid w:val="00492BC5"/>
    <w:rsid w:val="004964F1"/>
    <w:rsid w:val="004A16BC"/>
    <w:rsid w:val="004A2B94"/>
    <w:rsid w:val="004B7C0C"/>
    <w:rsid w:val="004C1130"/>
    <w:rsid w:val="004C3898"/>
    <w:rsid w:val="004D11B3"/>
    <w:rsid w:val="004D36B1"/>
    <w:rsid w:val="004D3DEE"/>
    <w:rsid w:val="004D7EBD"/>
    <w:rsid w:val="004E1E0E"/>
    <w:rsid w:val="004E2680"/>
    <w:rsid w:val="004E28F9"/>
    <w:rsid w:val="004E462E"/>
    <w:rsid w:val="004E56DC"/>
    <w:rsid w:val="004E76F4"/>
    <w:rsid w:val="004F0B4E"/>
    <w:rsid w:val="004F0B6C"/>
    <w:rsid w:val="004F2078"/>
    <w:rsid w:val="004F3401"/>
    <w:rsid w:val="004F4DA3"/>
    <w:rsid w:val="0050342C"/>
    <w:rsid w:val="00506557"/>
    <w:rsid w:val="0050677A"/>
    <w:rsid w:val="005108D8"/>
    <w:rsid w:val="005116F9"/>
    <w:rsid w:val="005153A7"/>
    <w:rsid w:val="005219CF"/>
    <w:rsid w:val="00534B59"/>
    <w:rsid w:val="00535E9A"/>
    <w:rsid w:val="00536759"/>
    <w:rsid w:val="00537C62"/>
    <w:rsid w:val="00546970"/>
    <w:rsid w:val="00552165"/>
    <w:rsid w:val="00554192"/>
    <w:rsid w:val="00554E19"/>
    <w:rsid w:val="0056121F"/>
    <w:rsid w:val="00572505"/>
    <w:rsid w:val="00575DA6"/>
    <w:rsid w:val="00582809"/>
    <w:rsid w:val="0058798C"/>
    <w:rsid w:val="005900FA"/>
    <w:rsid w:val="005935A4"/>
    <w:rsid w:val="005948C2"/>
    <w:rsid w:val="00595DCA"/>
    <w:rsid w:val="0059779B"/>
    <w:rsid w:val="005A209A"/>
    <w:rsid w:val="005A655A"/>
    <w:rsid w:val="005A662D"/>
    <w:rsid w:val="005B35D7"/>
    <w:rsid w:val="005B392A"/>
    <w:rsid w:val="005B3AA3"/>
    <w:rsid w:val="005B6F83"/>
    <w:rsid w:val="005C1F12"/>
    <w:rsid w:val="005C5FDB"/>
    <w:rsid w:val="005C74FB"/>
    <w:rsid w:val="005D1602"/>
    <w:rsid w:val="005E385F"/>
    <w:rsid w:val="005E5B81"/>
    <w:rsid w:val="005F02B1"/>
    <w:rsid w:val="005F2CB1"/>
    <w:rsid w:val="005F3025"/>
    <w:rsid w:val="005F618C"/>
    <w:rsid w:val="005F70BD"/>
    <w:rsid w:val="0060283C"/>
    <w:rsid w:val="00604F14"/>
    <w:rsid w:val="00611B83"/>
    <w:rsid w:val="00613257"/>
    <w:rsid w:val="00620A71"/>
    <w:rsid w:val="00620D80"/>
    <w:rsid w:val="006234A6"/>
    <w:rsid w:val="0062459F"/>
    <w:rsid w:val="00630001"/>
    <w:rsid w:val="006311B3"/>
    <w:rsid w:val="0063284C"/>
    <w:rsid w:val="00636398"/>
    <w:rsid w:val="006368D3"/>
    <w:rsid w:val="006377EC"/>
    <w:rsid w:val="0064151F"/>
    <w:rsid w:val="00641533"/>
    <w:rsid w:val="0064208D"/>
    <w:rsid w:val="00643475"/>
    <w:rsid w:val="0064396A"/>
    <w:rsid w:val="0064624E"/>
    <w:rsid w:val="00650AB9"/>
    <w:rsid w:val="00652ABB"/>
    <w:rsid w:val="00655733"/>
    <w:rsid w:val="00655ACD"/>
    <w:rsid w:val="00656A92"/>
    <w:rsid w:val="00656DDE"/>
    <w:rsid w:val="00660077"/>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4F2"/>
    <w:rsid w:val="006817C9"/>
    <w:rsid w:val="00683ECE"/>
    <w:rsid w:val="00695FC2"/>
    <w:rsid w:val="00696949"/>
    <w:rsid w:val="00697052"/>
    <w:rsid w:val="006A3CAF"/>
    <w:rsid w:val="006A46FB"/>
    <w:rsid w:val="006A5E28"/>
    <w:rsid w:val="006A6419"/>
    <w:rsid w:val="006A6585"/>
    <w:rsid w:val="006A697B"/>
    <w:rsid w:val="006A7AFF"/>
    <w:rsid w:val="006B1816"/>
    <w:rsid w:val="006B2099"/>
    <w:rsid w:val="006B50CF"/>
    <w:rsid w:val="006C03B8"/>
    <w:rsid w:val="006C5EC9"/>
    <w:rsid w:val="006C6059"/>
    <w:rsid w:val="006C7522"/>
    <w:rsid w:val="006C7CA6"/>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515"/>
    <w:rsid w:val="007148D3"/>
    <w:rsid w:val="00715B9A"/>
    <w:rsid w:val="00726EA6"/>
    <w:rsid w:val="00727208"/>
    <w:rsid w:val="00727680"/>
    <w:rsid w:val="007348B1"/>
    <w:rsid w:val="007362A6"/>
    <w:rsid w:val="007366B4"/>
    <w:rsid w:val="00736D7D"/>
    <w:rsid w:val="00740E58"/>
    <w:rsid w:val="007410A8"/>
    <w:rsid w:val="007445A0"/>
    <w:rsid w:val="0074524B"/>
    <w:rsid w:val="00747D8B"/>
    <w:rsid w:val="00751228"/>
    <w:rsid w:val="00753805"/>
    <w:rsid w:val="007571E1"/>
    <w:rsid w:val="007604B2"/>
    <w:rsid w:val="00765281"/>
    <w:rsid w:val="00766BAD"/>
    <w:rsid w:val="007755F2"/>
    <w:rsid w:val="00776971"/>
    <w:rsid w:val="00777D37"/>
    <w:rsid w:val="00780834"/>
    <w:rsid w:val="0078177E"/>
    <w:rsid w:val="0078304C"/>
    <w:rsid w:val="00783673"/>
    <w:rsid w:val="00785490"/>
    <w:rsid w:val="00790B99"/>
    <w:rsid w:val="00790E78"/>
    <w:rsid w:val="00791B48"/>
    <w:rsid w:val="007925EA"/>
    <w:rsid w:val="00793CD8"/>
    <w:rsid w:val="00795C92"/>
    <w:rsid w:val="00796231"/>
    <w:rsid w:val="007A1CB3"/>
    <w:rsid w:val="007A306F"/>
    <w:rsid w:val="007A3C56"/>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051B"/>
    <w:rsid w:val="00811FCB"/>
    <w:rsid w:val="008158D6"/>
    <w:rsid w:val="00817196"/>
    <w:rsid w:val="008235DB"/>
    <w:rsid w:val="00824AB4"/>
    <w:rsid w:val="00825C42"/>
    <w:rsid w:val="00825D25"/>
    <w:rsid w:val="00827D6F"/>
    <w:rsid w:val="008376AC"/>
    <w:rsid w:val="008444E8"/>
    <w:rsid w:val="00844E80"/>
    <w:rsid w:val="00846FE7"/>
    <w:rsid w:val="00854682"/>
    <w:rsid w:val="00856911"/>
    <w:rsid w:val="008677FD"/>
    <w:rsid w:val="008706D4"/>
    <w:rsid w:val="00870F8A"/>
    <w:rsid w:val="008719A4"/>
    <w:rsid w:val="00871D23"/>
    <w:rsid w:val="00872849"/>
    <w:rsid w:val="00874312"/>
    <w:rsid w:val="0087437C"/>
    <w:rsid w:val="00875CD7"/>
    <w:rsid w:val="00876B4D"/>
    <w:rsid w:val="00877F18"/>
    <w:rsid w:val="00885913"/>
    <w:rsid w:val="00893BBB"/>
    <w:rsid w:val="00894A88"/>
    <w:rsid w:val="00894D39"/>
    <w:rsid w:val="00895386"/>
    <w:rsid w:val="008A21FF"/>
    <w:rsid w:val="008A2CE2"/>
    <w:rsid w:val="008A30AC"/>
    <w:rsid w:val="008A44B8"/>
    <w:rsid w:val="008A51A8"/>
    <w:rsid w:val="008A54C7"/>
    <w:rsid w:val="008A77D8"/>
    <w:rsid w:val="008B0483"/>
    <w:rsid w:val="008B10D3"/>
    <w:rsid w:val="008B120C"/>
    <w:rsid w:val="008B51A0"/>
    <w:rsid w:val="008B592A"/>
    <w:rsid w:val="008B7B5C"/>
    <w:rsid w:val="008C0C99"/>
    <w:rsid w:val="008C2017"/>
    <w:rsid w:val="008C4958"/>
    <w:rsid w:val="008C4BAA"/>
    <w:rsid w:val="008C6A74"/>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E5"/>
    <w:rsid w:val="00911DFB"/>
    <w:rsid w:val="009139D9"/>
    <w:rsid w:val="00914AD8"/>
    <w:rsid w:val="00916079"/>
    <w:rsid w:val="00917CE9"/>
    <w:rsid w:val="00920BF2"/>
    <w:rsid w:val="00921A7C"/>
    <w:rsid w:val="00922010"/>
    <w:rsid w:val="00931BD9"/>
    <w:rsid w:val="00935739"/>
    <w:rsid w:val="009368F3"/>
    <w:rsid w:val="00941636"/>
    <w:rsid w:val="00943742"/>
    <w:rsid w:val="00945C05"/>
    <w:rsid w:val="00946945"/>
    <w:rsid w:val="00947713"/>
    <w:rsid w:val="00950DE7"/>
    <w:rsid w:val="00952A24"/>
    <w:rsid w:val="00953920"/>
    <w:rsid w:val="00953D47"/>
    <w:rsid w:val="009564DE"/>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1DBD"/>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18C1"/>
    <w:rsid w:val="009F344F"/>
    <w:rsid w:val="00A0304D"/>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48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14C"/>
    <w:rsid w:val="00AD0AA3"/>
    <w:rsid w:val="00AD3F94"/>
    <w:rsid w:val="00AD4A5A"/>
    <w:rsid w:val="00AD6123"/>
    <w:rsid w:val="00AD6456"/>
    <w:rsid w:val="00AE27AC"/>
    <w:rsid w:val="00AE2FEB"/>
    <w:rsid w:val="00AE40E0"/>
    <w:rsid w:val="00AE4DBA"/>
    <w:rsid w:val="00AE4F07"/>
    <w:rsid w:val="00AF1C5D"/>
    <w:rsid w:val="00AF42D7"/>
    <w:rsid w:val="00B006FE"/>
    <w:rsid w:val="00B007CB"/>
    <w:rsid w:val="00B02AA9"/>
    <w:rsid w:val="00B02D9D"/>
    <w:rsid w:val="00B02FA3"/>
    <w:rsid w:val="00B03374"/>
    <w:rsid w:val="00B05084"/>
    <w:rsid w:val="00B12818"/>
    <w:rsid w:val="00B157F9"/>
    <w:rsid w:val="00B20256"/>
    <w:rsid w:val="00B20D09"/>
    <w:rsid w:val="00B2763F"/>
    <w:rsid w:val="00B27AAC"/>
    <w:rsid w:val="00B30929"/>
    <w:rsid w:val="00B372AA"/>
    <w:rsid w:val="00B40445"/>
    <w:rsid w:val="00B41888"/>
    <w:rsid w:val="00B45A52"/>
    <w:rsid w:val="00B46175"/>
    <w:rsid w:val="00B664C7"/>
    <w:rsid w:val="00B71A27"/>
    <w:rsid w:val="00B739F6"/>
    <w:rsid w:val="00B765A2"/>
    <w:rsid w:val="00B81A6C"/>
    <w:rsid w:val="00B85DE5"/>
    <w:rsid w:val="00B90062"/>
    <w:rsid w:val="00B90F73"/>
    <w:rsid w:val="00B93B59"/>
    <w:rsid w:val="00B9406A"/>
    <w:rsid w:val="00BA2280"/>
    <w:rsid w:val="00BA2A08"/>
    <w:rsid w:val="00BA56D2"/>
    <w:rsid w:val="00BA76E0"/>
    <w:rsid w:val="00BB2A25"/>
    <w:rsid w:val="00BB51E9"/>
    <w:rsid w:val="00BC0FDC"/>
    <w:rsid w:val="00BC3053"/>
    <w:rsid w:val="00BC4D2E"/>
    <w:rsid w:val="00BC55B5"/>
    <w:rsid w:val="00BD48AC"/>
    <w:rsid w:val="00BD5F1A"/>
    <w:rsid w:val="00BE1234"/>
    <w:rsid w:val="00BE2240"/>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11E"/>
    <w:rsid w:val="00C14D4B"/>
    <w:rsid w:val="00C154BB"/>
    <w:rsid w:val="00C26DDA"/>
    <w:rsid w:val="00C279B5"/>
    <w:rsid w:val="00C27C45"/>
    <w:rsid w:val="00C32FAF"/>
    <w:rsid w:val="00C341AB"/>
    <w:rsid w:val="00C3719D"/>
    <w:rsid w:val="00C47577"/>
    <w:rsid w:val="00C50AAB"/>
    <w:rsid w:val="00C54895"/>
    <w:rsid w:val="00C54995"/>
    <w:rsid w:val="00C54D41"/>
    <w:rsid w:val="00C60783"/>
    <w:rsid w:val="00C64672"/>
    <w:rsid w:val="00C70697"/>
    <w:rsid w:val="00C72EF4"/>
    <w:rsid w:val="00C75D2F"/>
    <w:rsid w:val="00C767BE"/>
    <w:rsid w:val="00C76E3C"/>
    <w:rsid w:val="00C81568"/>
    <w:rsid w:val="00C8529F"/>
    <w:rsid w:val="00C9027A"/>
    <w:rsid w:val="00C9068E"/>
    <w:rsid w:val="00C906CE"/>
    <w:rsid w:val="00C93C4B"/>
    <w:rsid w:val="00C944AB"/>
    <w:rsid w:val="00C95B40"/>
    <w:rsid w:val="00CA1068"/>
    <w:rsid w:val="00CA1ED8"/>
    <w:rsid w:val="00CA2417"/>
    <w:rsid w:val="00CB1F63"/>
    <w:rsid w:val="00CB3558"/>
    <w:rsid w:val="00CB7170"/>
    <w:rsid w:val="00CC040E"/>
    <w:rsid w:val="00CC111F"/>
    <w:rsid w:val="00CC2011"/>
    <w:rsid w:val="00CC3EA0"/>
    <w:rsid w:val="00CC7B45"/>
    <w:rsid w:val="00CD1188"/>
    <w:rsid w:val="00CD2ED1"/>
    <w:rsid w:val="00CD337B"/>
    <w:rsid w:val="00CE0424"/>
    <w:rsid w:val="00CE7561"/>
    <w:rsid w:val="00CF1354"/>
    <w:rsid w:val="00CF13BB"/>
    <w:rsid w:val="00CF3B1F"/>
    <w:rsid w:val="00CF3BF6"/>
    <w:rsid w:val="00CF5F7C"/>
    <w:rsid w:val="00CF625B"/>
    <w:rsid w:val="00CF687E"/>
    <w:rsid w:val="00D0349B"/>
    <w:rsid w:val="00D03B8A"/>
    <w:rsid w:val="00D10249"/>
    <w:rsid w:val="00D115C3"/>
    <w:rsid w:val="00D11897"/>
    <w:rsid w:val="00D13135"/>
    <w:rsid w:val="00D13E4E"/>
    <w:rsid w:val="00D239A7"/>
    <w:rsid w:val="00D23F47"/>
    <w:rsid w:val="00D36E71"/>
    <w:rsid w:val="00D36F5E"/>
    <w:rsid w:val="00D37D87"/>
    <w:rsid w:val="00D40B33"/>
    <w:rsid w:val="00D4318F"/>
    <w:rsid w:val="00D438BF"/>
    <w:rsid w:val="00D440F8"/>
    <w:rsid w:val="00D546FF"/>
    <w:rsid w:val="00D55AD5"/>
    <w:rsid w:val="00D576CA"/>
    <w:rsid w:val="00D60BF3"/>
    <w:rsid w:val="00D61AF5"/>
    <w:rsid w:val="00D652B5"/>
    <w:rsid w:val="00D66155"/>
    <w:rsid w:val="00D708B0"/>
    <w:rsid w:val="00D73C8E"/>
    <w:rsid w:val="00D77B1D"/>
    <w:rsid w:val="00D8021F"/>
    <w:rsid w:val="00D80383"/>
    <w:rsid w:val="00D8149C"/>
    <w:rsid w:val="00D823C6"/>
    <w:rsid w:val="00D86CA3"/>
    <w:rsid w:val="00D871CE"/>
    <w:rsid w:val="00D9196D"/>
    <w:rsid w:val="00D92982"/>
    <w:rsid w:val="00D963F8"/>
    <w:rsid w:val="00DA305E"/>
    <w:rsid w:val="00DA5417"/>
    <w:rsid w:val="00DA56E8"/>
    <w:rsid w:val="00DA6757"/>
    <w:rsid w:val="00DB0A9F"/>
    <w:rsid w:val="00DB377D"/>
    <w:rsid w:val="00DC16B8"/>
    <w:rsid w:val="00DC2D36"/>
    <w:rsid w:val="00DC53EF"/>
    <w:rsid w:val="00DE5608"/>
    <w:rsid w:val="00DE58D0"/>
    <w:rsid w:val="00DE654F"/>
    <w:rsid w:val="00DF0B6E"/>
    <w:rsid w:val="00DF15E0"/>
    <w:rsid w:val="00DF37A0"/>
    <w:rsid w:val="00E110E7"/>
    <w:rsid w:val="00E11B20"/>
    <w:rsid w:val="00E17FA2"/>
    <w:rsid w:val="00E20D39"/>
    <w:rsid w:val="00E21B5D"/>
    <w:rsid w:val="00E22330"/>
    <w:rsid w:val="00E25CE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58C"/>
    <w:rsid w:val="00E63838"/>
    <w:rsid w:val="00E64434"/>
    <w:rsid w:val="00E67C51"/>
    <w:rsid w:val="00E72EFC"/>
    <w:rsid w:val="00E758EC"/>
    <w:rsid w:val="00E77548"/>
    <w:rsid w:val="00E8234C"/>
    <w:rsid w:val="00E83AA9"/>
    <w:rsid w:val="00E85928"/>
    <w:rsid w:val="00E87822"/>
    <w:rsid w:val="00E90395"/>
    <w:rsid w:val="00E90E49"/>
    <w:rsid w:val="00E90EB9"/>
    <w:rsid w:val="00E917F9"/>
    <w:rsid w:val="00E9291C"/>
    <w:rsid w:val="00E93FFE"/>
    <w:rsid w:val="00E94F8A"/>
    <w:rsid w:val="00EA294B"/>
    <w:rsid w:val="00EA4B16"/>
    <w:rsid w:val="00EA53B1"/>
    <w:rsid w:val="00EA7A41"/>
    <w:rsid w:val="00EB077B"/>
    <w:rsid w:val="00EB4EA2"/>
    <w:rsid w:val="00EC27C6"/>
    <w:rsid w:val="00EC4207"/>
    <w:rsid w:val="00EC4D92"/>
    <w:rsid w:val="00EC5653"/>
    <w:rsid w:val="00EC71CE"/>
    <w:rsid w:val="00EC77A7"/>
    <w:rsid w:val="00EC7BCD"/>
    <w:rsid w:val="00ED1006"/>
    <w:rsid w:val="00ED137B"/>
    <w:rsid w:val="00ED5B00"/>
    <w:rsid w:val="00EE59C8"/>
    <w:rsid w:val="00EF18FE"/>
    <w:rsid w:val="00EF5787"/>
    <w:rsid w:val="00EF60D0"/>
    <w:rsid w:val="00EF6CBC"/>
    <w:rsid w:val="00F0528D"/>
    <w:rsid w:val="00F06C67"/>
    <w:rsid w:val="00F06DFD"/>
    <w:rsid w:val="00F071D1"/>
    <w:rsid w:val="00F07533"/>
    <w:rsid w:val="00F10629"/>
    <w:rsid w:val="00F15FA5"/>
    <w:rsid w:val="00F17BE4"/>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B6"/>
    <w:rsid w:val="00F96985"/>
    <w:rsid w:val="00F972ED"/>
    <w:rsid w:val="00F97838"/>
    <w:rsid w:val="00FA2BB3"/>
    <w:rsid w:val="00FA76A0"/>
    <w:rsid w:val="00FB08E2"/>
    <w:rsid w:val="00FB4C80"/>
    <w:rsid w:val="00FB5AAB"/>
    <w:rsid w:val="00FB6A6A"/>
    <w:rsid w:val="00FC42BE"/>
    <w:rsid w:val="00FC62DB"/>
    <w:rsid w:val="00FC7429"/>
    <w:rsid w:val="00FC771F"/>
    <w:rsid w:val="00FD07F6"/>
    <w:rsid w:val="00FD1EC8"/>
    <w:rsid w:val="00FD33BC"/>
    <w:rsid w:val="00FD47ED"/>
    <w:rsid w:val="00FD74DB"/>
    <w:rsid w:val="00FD7660"/>
    <w:rsid w:val="00FE0655"/>
    <w:rsid w:val="00FE2365"/>
    <w:rsid w:val="00FE37D7"/>
    <w:rsid w:val="00FE4C7B"/>
    <w:rsid w:val="00FE7336"/>
    <w:rsid w:val="00FE787C"/>
    <w:rsid w:val="00FE7BD0"/>
    <w:rsid w:val="00FF0E4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A49A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2459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245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2459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2459F"/>
    <w:pPr>
      <w:numPr>
        <w:ilvl w:val="2"/>
      </w:numPr>
      <w:spacing w:before="120"/>
      <w:outlineLvl w:val="2"/>
    </w:pPr>
    <w:rPr>
      <w:sz w:val="24"/>
      <w:szCs w:val="28"/>
    </w:rPr>
  </w:style>
  <w:style w:type="paragraph" w:styleId="Heading4">
    <w:name w:val="heading 4"/>
    <w:basedOn w:val="Heading3"/>
    <w:next w:val="Normal"/>
    <w:qFormat/>
    <w:rsid w:val="0062459F"/>
    <w:pPr>
      <w:numPr>
        <w:ilvl w:val="3"/>
      </w:numPr>
      <w:outlineLvl w:val="3"/>
    </w:pPr>
    <w:rPr>
      <w:szCs w:val="24"/>
    </w:rPr>
  </w:style>
  <w:style w:type="paragraph" w:styleId="Heading5">
    <w:name w:val="heading 5"/>
    <w:basedOn w:val="Heading4"/>
    <w:next w:val="Normal"/>
    <w:qFormat/>
    <w:rsid w:val="0062459F"/>
    <w:pPr>
      <w:numPr>
        <w:ilvl w:val="4"/>
      </w:numPr>
      <w:outlineLvl w:val="4"/>
    </w:pPr>
    <w:rPr>
      <w:sz w:val="22"/>
      <w:szCs w:val="22"/>
    </w:rPr>
  </w:style>
  <w:style w:type="paragraph" w:styleId="Heading6">
    <w:name w:val="heading 6"/>
    <w:basedOn w:val="Normal"/>
    <w:next w:val="Normal"/>
    <w:qFormat/>
    <w:rsid w:val="0062459F"/>
    <w:pPr>
      <w:keepNext/>
      <w:keepLines/>
      <w:numPr>
        <w:ilvl w:val="5"/>
        <w:numId w:val="1"/>
      </w:numPr>
      <w:spacing w:before="120"/>
      <w:outlineLvl w:val="5"/>
    </w:pPr>
    <w:rPr>
      <w:rFonts w:cs="Arial"/>
    </w:rPr>
  </w:style>
  <w:style w:type="paragraph" w:styleId="Heading7">
    <w:name w:val="heading 7"/>
    <w:basedOn w:val="Normal"/>
    <w:next w:val="Normal"/>
    <w:qFormat/>
    <w:rsid w:val="0062459F"/>
    <w:pPr>
      <w:keepNext/>
      <w:keepLines/>
      <w:numPr>
        <w:ilvl w:val="6"/>
        <w:numId w:val="1"/>
      </w:numPr>
      <w:spacing w:before="120"/>
      <w:outlineLvl w:val="6"/>
    </w:pPr>
    <w:rPr>
      <w:rFonts w:cs="Arial"/>
    </w:rPr>
  </w:style>
  <w:style w:type="paragraph" w:styleId="Heading8">
    <w:name w:val="heading 8"/>
    <w:basedOn w:val="Heading7"/>
    <w:next w:val="Normal"/>
    <w:qFormat/>
    <w:rsid w:val="0062459F"/>
    <w:pPr>
      <w:numPr>
        <w:ilvl w:val="7"/>
      </w:numPr>
      <w:outlineLvl w:val="7"/>
    </w:pPr>
  </w:style>
  <w:style w:type="paragraph" w:styleId="Heading9">
    <w:name w:val="heading 9"/>
    <w:basedOn w:val="Heading8"/>
    <w:next w:val="Normal"/>
    <w:qFormat/>
    <w:rsid w:val="0062459F"/>
    <w:pPr>
      <w:numPr>
        <w:ilvl w:val="8"/>
      </w:numPr>
      <w:outlineLvl w:val="8"/>
    </w:pPr>
  </w:style>
  <w:style w:type="character" w:default="1" w:styleId="DefaultParagraphFont">
    <w:name w:val="Default Paragraph Font"/>
    <w:uiPriority w:val="1"/>
    <w:semiHidden/>
    <w:unhideWhenUsed/>
    <w:rsid w:val="006245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59F"/>
  </w:style>
  <w:style w:type="paragraph" w:styleId="TOC8">
    <w:name w:val="toc 8"/>
    <w:basedOn w:val="TOC1"/>
    <w:semiHidden/>
    <w:rsid w:val="0062459F"/>
    <w:pPr>
      <w:spacing w:before="180"/>
      <w:ind w:left="2693" w:hanging="2693"/>
    </w:pPr>
    <w:rPr>
      <w:b w:val="0"/>
      <w:bCs/>
    </w:rPr>
  </w:style>
  <w:style w:type="paragraph" w:styleId="TOC1">
    <w:name w:val="toc 1"/>
    <w:aliases w:val="Observation TOC2"/>
    <w:uiPriority w:val="39"/>
    <w:rsid w:val="0062459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2459F"/>
    <w:pPr>
      <w:keepNext/>
      <w:keepLines/>
      <w:spacing w:before="180"/>
      <w:jc w:val="center"/>
    </w:pPr>
  </w:style>
  <w:style w:type="paragraph" w:styleId="Caption">
    <w:name w:val="caption"/>
    <w:basedOn w:val="Normal"/>
    <w:next w:val="Normal"/>
    <w:qFormat/>
    <w:rsid w:val="0062459F"/>
    <w:pPr>
      <w:spacing w:after="240"/>
      <w:jc w:val="center"/>
    </w:pPr>
    <w:rPr>
      <w:b/>
      <w:bCs/>
    </w:rPr>
  </w:style>
  <w:style w:type="paragraph" w:styleId="TOC5">
    <w:name w:val="toc 5"/>
    <w:aliases w:val="Observation TOC"/>
    <w:basedOn w:val="TOC4"/>
    <w:semiHidden/>
    <w:rsid w:val="0062459F"/>
    <w:pPr>
      <w:tabs>
        <w:tab w:val="right" w:pos="1701"/>
      </w:tabs>
      <w:ind w:left="1701" w:hanging="1701"/>
    </w:pPr>
  </w:style>
  <w:style w:type="paragraph" w:styleId="TOC4">
    <w:name w:val="toc 4"/>
    <w:basedOn w:val="TOC3"/>
    <w:semiHidden/>
    <w:rsid w:val="0062459F"/>
    <w:pPr>
      <w:ind w:left="1418" w:hanging="1418"/>
    </w:pPr>
  </w:style>
  <w:style w:type="paragraph" w:styleId="TOC3">
    <w:name w:val="toc 3"/>
    <w:basedOn w:val="TOC2"/>
    <w:semiHidden/>
    <w:rsid w:val="0062459F"/>
    <w:pPr>
      <w:ind w:left="1134" w:hanging="1134"/>
    </w:pPr>
  </w:style>
  <w:style w:type="paragraph" w:styleId="TOC2">
    <w:name w:val="toc 2"/>
    <w:basedOn w:val="TOC1"/>
    <w:semiHidden/>
    <w:rsid w:val="0062459F"/>
    <w:pPr>
      <w:keepNext w:val="0"/>
      <w:spacing w:before="0"/>
      <w:ind w:left="851" w:hanging="851"/>
    </w:pPr>
    <w:rPr>
      <w:szCs w:val="20"/>
    </w:rPr>
  </w:style>
  <w:style w:type="paragraph" w:styleId="Index2">
    <w:name w:val="index 2"/>
    <w:basedOn w:val="Index1"/>
    <w:semiHidden/>
    <w:rsid w:val="0062459F"/>
    <w:pPr>
      <w:ind w:left="284"/>
    </w:pPr>
  </w:style>
  <w:style w:type="paragraph" w:styleId="Index1">
    <w:name w:val="index 1"/>
    <w:basedOn w:val="Normal"/>
    <w:semiHidden/>
    <w:rsid w:val="0062459F"/>
    <w:pPr>
      <w:keepLines/>
      <w:spacing w:after="0"/>
    </w:pPr>
  </w:style>
  <w:style w:type="paragraph" w:styleId="DocumentMap">
    <w:name w:val="Document Map"/>
    <w:basedOn w:val="Normal"/>
    <w:semiHidden/>
    <w:rsid w:val="0062459F"/>
    <w:pPr>
      <w:shd w:val="clear" w:color="auto" w:fill="000080"/>
    </w:pPr>
    <w:rPr>
      <w:rFonts w:ascii="Tahoma" w:hAnsi="Tahoma" w:cs="Tahoma"/>
    </w:rPr>
  </w:style>
  <w:style w:type="paragraph" w:styleId="ListNumber2">
    <w:name w:val="List Number 2"/>
    <w:basedOn w:val="ListNumber"/>
    <w:rsid w:val="0062459F"/>
    <w:pPr>
      <w:ind w:left="851"/>
    </w:pPr>
  </w:style>
  <w:style w:type="paragraph" w:styleId="ListNumber">
    <w:name w:val="List Number"/>
    <w:basedOn w:val="List"/>
    <w:rsid w:val="0062459F"/>
  </w:style>
  <w:style w:type="paragraph" w:styleId="List">
    <w:name w:val="List"/>
    <w:basedOn w:val="Normal"/>
    <w:rsid w:val="0062459F"/>
    <w:pPr>
      <w:ind w:left="568" w:hanging="284"/>
    </w:pPr>
  </w:style>
  <w:style w:type="paragraph" w:styleId="Header">
    <w:name w:val="header"/>
    <w:rsid w:val="006245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2459F"/>
    <w:rPr>
      <w:b/>
      <w:bCs/>
      <w:position w:val="6"/>
      <w:sz w:val="16"/>
      <w:szCs w:val="16"/>
    </w:rPr>
  </w:style>
  <w:style w:type="paragraph" w:styleId="FootnoteText">
    <w:name w:val="footnote text"/>
    <w:basedOn w:val="Normal"/>
    <w:semiHidden/>
    <w:rsid w:val="0062459F"/>
    <w:pPr>
      <w:keepLines/>
      <w:spacing w:after="0"/>
      <w:ind w:left="454" w:hanging="454"/>
    </w:pPr>
    <w:rPr>
      <w:sz w:val="16"/>
      <w:szCs w:val="16"/>
    </w:rPr>
  </w:style>
  <w:style w:type="paragraph" w:customStyle="1" w:styleId="3GPPHeader">
    <w:name w:val="3GPP_Header"/>
    <w:basedOn w:val="Normal"/>
    <w:qFormat/>
    <w:rsid w:val="0062459F"/>
    <w:pPr>
      <w:tabs>
        <w:tab w:val="left" w:pos="1800"/>
        <w:tab w:val="right" w:pos="9360"/>
      </w:tabs>
      <w:spacing w:after="0"/>
    </w:pPr>
    <w:rPr>
      <w:rFonts w:ascii="Arial" w:hAnsi="Arial"/>
      <w:b/>
    </w:rPr>
  </w:style>
  <w:style w:type="paragraph" w:styleId="TOC9">
    <w:name w:val="toc 9"/>
    <w:basedOn w:val="TOC8"/>
    <w:semiHidden/>
    <w:rsid w:val="0062459F"/>
    <w:pPr>
      <w:ind w:left="1418" w:hanging="1418"/>
    </w:pPr>
  </w:style>
  <w:style w:type="paragraph" w:styleId="TOC6">
    <w:name w:val="toc 6"/>
    <w:basedOn w:val="TOC5"/>
    <w:next w:val="Normal"/>
    <w:semiHidden/>
    <w:rsid w:val="0062459F"/>
    <w:pPr>
      <w:ind w:left="1985" w:hanging="1985"/>
    </w:pPr>
  </w:style>
  <w:style w:type="paragraph" w:styleId="TOC7">
    <w:name w:val="toc 7"/>
    <w:basedOn w:val="TOC6"/>
    <w:next w:val="Normal"/>
    <w:semiHidden/>
    <w:rsid w:val="0062459F"/>
    <w:pPr>
      <w:ind w:left="2268" w:hanging="2268"/>
    </w:pPr>
  </w:style>
  <w:style w:type="paragraph" w:styleId="ListBullet2">
    <w:name w:val="List Bullet 2"/>
    <w:basedOn w:val="ListBullet"/>
    <w:rsid w:val="0062459F"/>
    <w:pPr>
      <w:numPr>
        <w:numId w:val="6"/>
      </w:numPr>
    </w:pPr>
  </w:style>
  <w:style w:type="paragraph" w:styleId="ListBullet">
    <w:name w:val="List Bullet"/>
    <w:basedOn w:val="BodyText"/>
    <w:rsid w:val="0062459F"/>
    <w:pPr>
      <w:numPr>
        <w:numId w:val="5"/>
      </w:numPr>
    </w:pPr>
  </w:style>
  <w:style w:type="paragraph" w:styleId="ListBullet3">
    <w:name w:val="List Bullet 3"/>
    <w:basedOn w:val="ListBullet2"/>
    <w:rsid w:val="0062459F"/>
    <w:pPr>
      <w:numPr>
        <w:numId w:val="7"/>
      </w:numPr>
    </w:pPr>
  </w:style>
  <w:style w:type="paragraph" w:customStyle="1" w:styleId="EQ">
    <w:name w:val="EQ"/>
    <w:basedOn w:val="Normal"/>
    <w:next w:val="Normal"/>
    <w:rsid w:val="0062459F"/>
    <w:pPr>
      <w:keepLines/>
      <w:tabs>
        <w:tab w:val="center" w:pos="4536"/>
        <w:tab w:val="right" w:pos="9072"/>
      </w:tabs>
      <w:spacing w:after="180"/>
      <w:jc w:val="left"/>
    </w:pPr>
    <w:rPr>
      <w:noProof/>
      <w:lang w:eastAsia="en-US"/>
    </w:rPr>
  </w:style>
  <w:style w:type="paragraph" w:styleId="List2">
    <w:name w:val="List 2"/>
    <w:basedOn w:val="List"/>
    <w:rsid w:val="0062459F"/>
    <w:pPr>
      <w:ind w:left="851"/>
    </w:pPr>
  </w:style>
  <w:style w:type="paragraph" w:styleId="List3">
    <w:name w:val="List 3"/>
    <w:basedOn w:val="List2"/>
    <w:rsid w:val="0062459F"/>
    <w:pPr>
      <w:ind w:left="1135"/>
    </w:pPr>
  </w:style>
  <w:style w:type="paragraph" w:styleId="List4">
    <w:name w:val="List 4"/>
    <w:basedOn w:val="List3"/>
    <w:rsid w:val="0062459F"/>
    <w:pPr>
      <w:ind w:left="1418"/>
    </w:pPr>
  </w:style>
  <w:style w:type="paragraph" w:styleId="List5">
    <w:name w:val="List 5"/>
    <w:basedOn w:val="List4"/>
    <w:rsid w:val="0062459F"/>
    <w:pPr>
      <w:ind w:left="1702"/>
    </w:pPr>
  </w:style>
  <w:style w:type="paragraph" w:customStyle="1" w:styleId="EditorsNote">
    <w:name w:val="Editor's Note"/>
    <w:basedOn w:val="Normal"/>
    <w:rsid w:val="0062459F"/>
    <w:pPr>
      <w:keepLines/>
      <w:spacing w:after="180"/>
      <w:ind w:left="1135" w:hanging="851"/>
      <w:jc w:val="left"/>
    </w:pPr>
    <w:rPr>
      <w:color w:val="FF0000"/>
      <w:lang w:eastAsia="en-US"/>
    </w:rPr>
  </w:style>
  <w:style w:type="paragraph" w:styleId="ListBullet4">
    <w:name w:val="List Bullet 4"/>
    <w:basedOn w:val="ListBullet3"/>
    <w:rsid w:val="0062459F"/>
    <w:pPr>
      <w:numPr>
        <w:numId w:val="8"/>
      </w:numPr>
    </w:pPr>
  </w:style>
  <w:style w:type="paragraph" w:styleId="ListBullet5">
    <w:name w:val="List Bullet 5"/>
    <w:basedOn w:val="ListBullet4"/>
    <w:rsid w:val="0062459F"/>
    <w:pPr>
      <w:numPr>
        <w:numId w:val="4"/>
      </w:numPr>
    </w:pPr>
  </w:style>
  <w:style w:type="paragraph" w:styleId="Footer">
    <w:name w:val="footer"/>
    <w:basedOn w:val="Header"/>
    <w:semiHidden/>
    <w:rsid w:val="0062459F"/>
    <w:pPr>
      <w:jc w:val="center"/>
    </w:pPr>
    <w:rPr>
      <w:i/>
      <w:iCs/>
    </w:rPr>
  </w:style>
  <w:style w:type="paragraph" w:customStyle="1" w:styleId="Reference">
    <w:name w:val="Reference"/>
    <w:basedOn w:val="Normal"/>
    <w:qFormat/>
    <w:rsid w:val="0062459F"/>
    <w:pPr>
      <w:numPr>
        <w:numId w:val="2"/>
      </w:numPr>
    </w:pPr>
  </w:style>
  <w:style w:type="paragraph" w:styleId="BalloonText">
    <w:name w:val="Balloon Text"/>
    <w:basedOn w:val="Normal"/>
    <w:semiHidden/>
    <w:rsid w:val="0062459F"/>
    <w:rPr>
      <w:rFonts w:ascii="Tahoma" w:hAnsi="Tahoma" w:cs="Tahoma"/>
      <w:sz w:val="16"/>
      <w:szCs w:val="16"/>
    </w:rPr>
  </w:style>
  <w:style w:type="character" w:styleId="PageNumber">
    <w:name w:val="page number"/>
    <w:basedOn w:val="DefaultParagraphFont"/>
    <w:semiHidden/>
    <w:rsid w:val="0062459F"/>
  </w:style>
  <w:style w:type="paragraph" w:styleId="BodyText">
    <w:name w:val="Body Text"/>
    <w:basedOn w:val="Normal"/>
    <w:link w:val="BodyTextChar"/>
    <w:qFormat/>
    <w:rsid w:val="0062459F"/>
  </w:style>
  <w:style w:type="character" w:styleId="Hyperlink">
    <w:name w:val="Hyperlink"/>
    <w:uiPriority w:val="99"/>
    <w:rsid w:val="0062459F"/>
    <w:rPr>
      <w:color w:val="0000FF"/>
      <w:u w:val="single"/>
      <w:lang w:val="en-GB"/>
    </w:rPr>
  </w:style>
  <w:style w:type="character" w:styleId="FollowedHyperlink">
    <w:name w:val="FollowedHyperlink"/>
    <w:semiHidden/>
    <w:rsid w:val="0062459F"/>
    <w:rPr>
      <w:color w:val="FF0000"/>
      <w:u w:val="single"/>
    </w:rPr>
  </w:style>
  <w:style w:type="character" w:styleId="CommentReference">
    <w:name w:val="annotation reference"/>
    <w:semiHidden/>
    <w:rsid w:val="0062459F"/>
    <w:rPr>
      <w:sz w:val="16"/>
      <w:szCs w:val="16"/>
    </w:rPr>
  </w:style>
  <w:style w:type="paragraph" w:styleId="CommentText">
    <w:name w:val="annotation text"/>
    <w:basedOn w:val="Normal"/>
    <w:link w:val="CommentTextChar"/>
    <w:rsid w:val="0062459F"/>
  </w:style>
  <w:style w:type="paragraph" w:styleId="CommentSubject">
    <w:name w:val="annotation subject"/>
    <w:basedOn w:val="CommentText"/>
    <w:next w:val="CommentText"/>
    <w:semiHidden/>
    <w:rsid w:val="0062459F"/>
    <w:rPr>
      <w:b/>
      <w:bCs/>
    </w:rPr>
  </w:style>
  <w:style w:type="character" w:customStyle="1" w:styleId="Heading1Char">
    <w:name w:val="Heading 1 Char"/>
    <w:link w:val="Heading1"/>
    <w:rsid w:val="0062459F"/>
    <w:rPr>
      <w:rFonts w:ascii="Arial" w:hAnsi="Arial" w:cs="Arial"/>
      <w:sz w:val="32"/>
      <w:szCs w:val="36"/>
      <w:lang w:val="en-GB" w:eastAsia="zh-CN"/>
    </w:rPr>
  </w:style>
  <w:style w:type="paragraph" w:customStyle="1" w:styleId="B1">
    <w:name w:val="B1"/>
    <w:basedOn w:val="List"/>
    <w:rsid w:val="0062459F"/>
    <w:pPr>
      <w:spacing w:after="180"/>
      <w:jc w:val="left"/>
    </w:pPr>
    <w:rPr>
      <w:lang w:eastAsia="en-US"/>
    </w:rPr>
  </w:style>
  <w:style w:type="paragraph" w:customStyle="1" w:styleId="B2">
    <w:name w:val="B2"/>
    <w:basedOn w:val="List2"/>
    <w:rsid w:val="0062459F"/>
    <w:pPr>
      <w:spacing w:after="180"/>
      <w:jc w:val="left"/>
    </w:pPr>
    <w:rPr>
      <w:lang w:eastAsia="en-US"/>
    </w:rPr>
  </w:style>
  <w:style w:type="paragraph" w:customStyle="1" w:styleId="B3">
    <w:name w:val="B3"/>
    <w:basedOn w:val="List3"/>
    <w:rsid w:val="0062459F"/>
    <w:pPr>
      <w:spacing w:after="180"/>
      <w:jc w:val="left"/>
    </w:pPr>
    <w:rPr>
      <w:lang w:eastAsia="en-US"/>
    </w:rPr>
  </w:style>
  <w:style w:type="paragraph" w:customStyle="1" w:styleId="B4">
    <w:name w:val="B4"/>
    <w:basedOn w:val="List4"/>
    <w:rsid w:val="0062459F"/>
    <w:pPr>
      <w:spacing w:after="180"/>
      <w:jc w:val="left"/>
    </w:pPr>
    <w:rPr>
      <w:lang w:eastAsia="en-US"/>
    </w:rPr>
  </w:style>
  <w:style w:type="paragraph" w:customStyle="1" w:styleId="Proposal">
    <w:name w:val="Proposal"/>
    <w:basedOn w:val="Normal"/>
    <w:qFormat/>
    <w:rsid w:val="0062459F"/>
    <w:pPr>
      <w:numPr>
        <w:numId w:val="3"/>
      </w:numPr>
      <w:tabs>
        <w:tab w:val="clear" w:pos="1304"/>
        <w:tab w:val="left" w:pos="1701"/>
      </w:tabs>
      <w:ind w:left="1701" w:hanging="1701"/>
    </w:pPr>
    <w:rPr>
      <w:b/>
      <w:bCs/>
    </w:rPr>
  </w:style>
  <w:style w:type="character" w:customStyle="1" w:styleId="BodyTextChar">
    <w:name w:val="Body Text Char"/>
    <w:link w:val="BodyText"/>
    <w:rsid w:val="0062459F"/>
    <w:rPr>
      <w:rFonts w:ascii="Times New Roman" w:hAnsi="Times New Roman"/>
      <w:lang w:val="en-GB" w:eastAsia="zh-CN"/>
    </w:rPr>
  </w:style>
  <w:style w:type="paragraph" w:customStyle="1" w:styleId="B5">
    <w:name w:val="B5"/>
    <w:basedOn w:val="List5"/>
    <w:rsid w:val="0062459F"/>
    <w:pPr>
      <w:spacing w:after="180"/>
      <w:jc w:val="left"/>
    </w:pPr>
    <w:rPr>
      <w:lang w:eastAsia="en-US"/>
    </w:rPr>
  </w:style>
  <w:style w:type="paragraph" w:customStyle="1" w:styleId="EX">
    <w:name w:val="EX"/>
    <w:basedOn w:val="Normal"/>
    <w:rsid w:val="0062459F"/>
    <w:pPr>
      <w:keepLines/>
      <w:spacing w:after="180"/>
      <w:ind w:left="1702" w:hanging="1418"/>
      <w:jc w:val="left"/>
    </w:pPr>
    <w:rPr>
      <w:lang w:eastAsia="en-US"/>
    </w:rPr>
  </w:style>
  <w:style w:type="paragraph" w:customStyle="1" w:styleId="EW">
    <w:name w:val="EW"/>
    <w:basedOn w:val="EX"/>
    <w:rsid w:val="0062459F"/>
    <w:pPr>
      <w:spacing w:after="0"/>
    </w:pPr>
  </w:style>
  <w:style w:type="paragraph" w:customStyle="1" w:styleId="TAL">
    <w:name w:val="TAL"/>
    <w:basedOn w:val="Normal"/>
    <w:rsid w:val="0062459F"/>
    <w:pPr>
      <w:keepNext/>
      <w:keepLines/>
      <w:spacing w:after="0"/>
      <w:jc w:val="left"/>
    </w:pPr>
    <w:rPr>
      <w:sz w:val="18"/>
      <w:lang w:eastAsia="en-US"/>
    </w:rPr>
  </w:style>
  <w:style w:type="paragraph" w:customStyle="1" w:styleId="TAC">
    <w:name w:val="TAC"/>
    <w:basedOn w:val="TAL"/>
    <w:rsid w:val="0062459F"/>
    <w:pPr>
      <w:jc w:val="center"/>
    </w:pPr>
  </w:style>
  <w:style w:type="paragraph" w:customStyle="1" w:styleId="TAH">
    <w:name w:val="TAH"/>
    <w:basedOn w:val="TAC"/>
    <w:rsid w:val="0062459F"/>
    <w:rPr>
      <w:b/>
    </w:rPr>
  </w:style>
  <w:style w:type="paragraph" w:customStyle="1" w:styleId="TAN">
    <w:name w:val="TAN"/>
    <w:basedOn w:val="TAL"/>
    <w:rsid w:val="0062459F"/>
    <w:pPr>
      <w:ind w:left="851" w:hanging="851"/>
    </w:pPr>
  </w:style>
  <w:style w:type="paragraph" w:customStyle="1" w:styleId="TAR">
    <w:name w:val="TAR"/>
    <w:basedOn w:val="TAL"/>
    <w:rsid w:val="0062459F"/>
    <w:pPr>
      <w:jc w:val="right"/>
    </w:pPr>
  </w:style>
  <w:style w:type="paragraph" w:customStyle="1" w:styleId="TH">
    <w:name w:val="TH"/>
    <w:basedOn w:val="Normal"/>
    <w:rsid w:val="0062459F"/>
    <w:pPr>
      <w:keepNext/>
      <w:keepLines/>
      <w:spacing w:before="60" w:after="180"/>
      <w:jc w:val="center"/>
    </w:pPr>
    <w:rPr>
      <w:b/>
      <w:lang w:eastAsia="en-US"/>
    </w:rPr>
  </w:style>
  <w:style w:type="paragraph" w:customStyle="1" w:styleId="TF">
    <w:name w:val="TF"/>
    <w:basedOn w:val="TH"/>
    <w:rsid w:val="0062459F"/>
    <w:pPr>
      <w:keepNext w:val="0"/>
      <w:spacing w:before="0" w:after="240"/>
    </w:pPr>
  </w:style>
  <w:style w:type="paragraph" w:customStyle="1" w:styleId="TT">
    <w:name w:val="TT"/>
    <w:basedOn w:val="Heading1"/>
    <w:next w:val="Normal"/>
    <w:rsid w:val="0062459F"/>
    <w:pPr>
      <w:numPr>
        <w:numId w:val="0"/>
      </w:numPr>
      <w:ind w:left="1134" w:hanging="1134"/>
      <w:outlineLvl w:val="9"/>
    </w:pPr>
    <w:rPr>
      <w:rFonts w:cs="Times New Roman"/>
      <w:szCs w:val="20"/>
      <w:lang w:eastAsia="en-US"/>
    </w:rPr>
  </w:style>
  <w:style w:type="paragraph" w:customStyle="1" w:styleId="ZA">
    <w:name w:val="ZA"/>
    <w:rsid w:val="006245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5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245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245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2459F"/>
  </w:style>
  <w:style w:type="paragraph" w:customStyle="1" w:styleId="ZH">
    <w:name w:val="ZH"/>
    <w:rsid w:val="006245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245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2459F"/>
    <w:pPr>
      <w:framePr w:hRule="auto" w:wrap="notBeside" w:y="852"/>
    </w:pPr>
    <w:rPr>
      <w:i w:val="0"/>
      <w:sz w:val="40"/>
    </w:rPr>
  </w:style>
  <w:style w:type="paragraph" w:customStyle="1" w:styleId="ZU">
    <w:name w:val="ZU"/>
    <w:rsid w:val="006245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2459F"/>
    <w:pPr>
      <w:framePr w:wrap="notBeside" w:y="16161"/>
    </w:pPr>
  </w:style>
  <w:style w:type="paragraph" w:customStyle="1" w:styleId="FP">
    <w:name w:val="FP"/>
    <w:basedOn w:val="Normal"/>
    <w:rsid w:val="0062459F"/>
    <w:pPr>
      <w:spacing w:after="0"/>
      <w:jc w:val="left"/>
    </w:pPr>
    <w:rPr>
      <w:lang w:eastAsia="en-US"/>
    </w:rPr>
  </w:style>
  <w:style w:type="paragraph" w:customStyle="1" w:styleId="Observation">
    <w:name w:val="Observation"/>
    <w:basedOn w:val="Proposal"/>
    <w:qFormat/>
    <w:rsid w:val="0062459F"/>
    <w:pPr>
      <w:numPr>
        <w:numId w:val="13"/>
      </w:numPr>
      <w:ind w:left="1701" w:hanging="1701"/>
    </w:pPr>
  </w:style>
  <w:style w:type="paragraph" w:styleId="TableofFigures">
    <w:name w:val="table of figures"/>
    <w:basedOn w:val="Normal"/>
    <w:next w:val="Normal"/>
    <w:uiPriority w:val="99"/>
    <w:rsid w:val="0062459F"/>
    <w:pPr>
      <w:ind w:left="1418" w:hanging="1418"/>
      <w:jc w:val="left"/>
    </w:pPr>
    <w:rPr>
      <w:b/>
    </w:rPr>
  </w:style>
  <w:style w:type="paragraph" w:styleId="Index4">
    <w:name w:val="index 4"/>
    <w:basedOn w:val="Normal"/>
    <w:next w:val="Normal"/>
    <w:autoRedefine/>
    <w:rsid w:val="0062459F"/>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141C3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B1A9E-22A4-4421-8A38-66D5225A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4</Pages>
  <Words>2163</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2008-01-31T15:09:00Z</cp:lastPrinted>
  <dcterms:created xsi:type="dcterms:W3CDTF">2017-01-09T23:57:00Z</dcterms:created>
  <dcterms:modified xsi:type="dcterms:W3CDTF">2017-01-09T23:57:00Z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